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C0D62" w:rsidRDefault="001C0D62">
      <w:pPr>
        <w:jc w:val="center"/>
        <w:rPr>
          <w:rFonts w:ascii="Arial" w:hAnsi="Arial" w:cs="Arial"/>
          <w:b/>
          <w:bCs/>
          <w:sz w:val="28"/>
          <w:u w:val="single"/>
        </w:rPr>
      </w:pPr>
      <w:bookmarkStart w:id="0" w:name="_GoBack"/>
      <w:bookmarkEnd w:id="0"/>
    </w:p>
    <w:p w:rsidR="001C0D62" w:rsidRDefault="001C0D62">
      <w:pPr>
        <w:jc w:val="center"/>
        <w:rPr>
          <w:rFonts w:ascii="Arial" w:hAnsi="Arial" w:cs="Arial"/>
          <w:b/>
          <w:bCs/>
          <w:sz w:val="28"/>
          <w:u w:val="single"/>
        </w:rPr>
      </w:pPr>
    </w:p>
    <w:p w:rsidR="001C0D62" w:rsidRDefault="001C0D62">
      <w:pPr>
        <w:jc w:val="center"/>
        <w:rPr>
          <w:rFonts w:ascii="Arial" w:hAnsi="Arial" w:cs="Arial"/>
          <w:b/>
          <w:bCs/>
          <w:sz w:val="28"/>
          <w:u w:val="single"/>
        </w:rPr>
      </w:pPr>
    </w:p>
    <w:p w:rsidR="001C0D62" w:rsidRDefault="001C0D62">
      <w:pPr>
        <w:jc w:val="center"/>
        <w:rPr>
          <w:rFonts w:ascii="Arial" w:hAnsi="Arial" w:cs="Arial"/>
          <w:b/>
          <w:bCs/>
          <w:sz w:val="28"/>
          <w:u w:val="single"/>
        </w:rPr>
      </w:pPr>
    </w:p>
    <w:p w:rsidR="001C0D62" w:rsidRDefault="001C0D62">
      <w:pPr>
        <w:jc w:val="center"/>
        <w:rPr>
          <w:rFonts w:ascii="Arial" w:hAnsi="Arial" w:cs="Arial"/>
          <w:b/>
          <w:bCs/>
          <w:sz w:val="28"/>
          <w:u w:val="single"/>
        </w:rPr>
      </w:pPr>
    </w:p>
    <w:p w:rsidR="001C0D62" w:rsidRDefault="001C0D62">
      <w:pPr>
        <w:jc w:val="center"/>
        <w:rPr>
          <w:rFonts w:ascii="Arial" w:hAnsi="Arial" w:cs="Arial"/>
          <w:b/>
          <w:bCs/>
          <w:sz w:val="28"/>
          <w:u w:val="single"/>
        </w:rPr>
      </w:pPr>
    </w:p>
    <w:p w:rsidR="001C0D62" w:rsidRDefault="001C0D62">
      <w:pPr>
        <w:jc w:val="center"/>
        <w:rPr>
          <w:rFonts w:ascii="Arial" w:hAnsi="Arial" w:cs="Arial"/>
          <w:b/>
          <w:bCs/>
          <w:sz w:val="28"/>
          <w:u w:val="single"/>
        </w:rPr>
      </w:pPr>
    </w:p>
    <w:p w:rsidR="001C0D62" w:rsidRDefault="001C0D62">
      <w:pPr>
        <w:jc w:val="center"/>
        <w:rPr>
          <w:rFonts w:ascii="Arial" w:hAnsi="Arial" w:cs="Arial"/>
          <w:b/>
          <w:bCs/>
          <w:sz w:val="28"/>
          <w:u w:val="single"/>
        </w:rPr>
      </w:pPr>
    </w:p>
    <w:p w:rsidR="001C0D62" w:rsidRDefault="001C0D62">
      <w:pPr>
        <w:jc w:val="center"/>
        <w:rPr>
          <w:rFonts w:ascii="Arial" w:hAnsi="Arial" w:cs="Arial"/>
          <w:b/>
          <w:bCs/>
          <w:sz w:val="28"/>
          <w:u w:val="single"/>
        </w:rPr>
      </w:pPr>
    </w:p>
    <w:p w:rsidR="001C0D62" w:rsidRDefault="001C0D62">
      <w:pPr>
        <w:pStyle w:val="BodyText"/>
        <w:rPr>
          <w:b w:val="0"/>
          <w:bCs w:val="0"/>
          <w:sz w:val="38"/>
        </w:rPr>
      </w:pPr>
      <w:r>
        <w:rPr>
          <w:b w:val="0"/>
          <w:bCs w:val="0"/>
          <w:sz w:val="38"/>
        </w:rPr>
        <w:t xml:space="preserve">To examine how the radial growth patterns of different species of trees may vary after being exposed to the same annual climatic conditions: </w:t>
      </w:r>
    </w:p>
    <w:p w:rsidR="001C0D62" w:rsidRDefault="001C0D62">
      <w:pPr>
        <w:pStyle w:val="BodyText"/>
        <w:rPr>
          <w:b w:val="0"/>
          <w:bCs w:val="0"/>
          <w:sz w:val="38"/>
        </w:rPr>
      </w:pPr>
      <w:r>
        <w:rPr>
          <w:b w:val="0"/>
          <w:bCs w:val="0"/>
          <w:sz w:val="38"/>
        </w:rPr>
        <w:t>A Priestley Clough case study.</w:t>
      </w:r>
    </w:p>
    <w:p w:rsidR="001C0D62" w:rsidRDefault="001C0D62">
      <w:pPr>
        <w:jc w:val="center"/>
        <w:rPr>
          <w:rFonts w:ascii="Arial" w:hAnsi="Arial" w:cs="Arial"/>
          <w:b/>
          <w:bCs/>
          <w:sz w:val="28"/>
          <w:u w:val="single"/>
        </w:rPr>
      </w:pPr>
    </w:p>
    <w:p w:rsidR="001C0D62" w:rsidRDefault="001C0D62">
      <w:pPr>
        <w:jc w:val="center"/>
        <w:rPr>
          <w:rFonts w:ascii="Arial" w:hAnsi="Arial" w:cs="Arial"/>
          <w:b/>
          <w:bCs/>
          <w:sz w:val="28"/>
          <w:u w:val="single"/>
        </w:rPr>
      </w:pPr>
    </w:p>
    <w:p w:rsidR="001C0D62" w:rsidRDefault="001C0D62">
      <w:pPr>
        <w:jc w:val="center"/>
        <w:rPr>
          <w:rFonts w:ascii="Arial" w:hAnsi="Arial" w:cs="Arial"/>
          <w:b/>
          <w:bCs/>
          <w:sz w:val="28"/>
          <w:u w:val="single"/>
        </w:rPr>
      </w:pPr>
    </w:p>
    <w:p w:rsidR="001C0D62" w:rsidRDefault="001C0D62">
      <w:pPr>
        <w:pStyle w:val="Heading1"/>
        <w:rPr>
          <w:b w:val="0"/>
          <w:bCs w:val="0"/>
          <w:sz w:val="34"/>
          <w:u w:val="none"/>
        </w:rPr>
      </w:pPr>
      <w:r>
        <w:rPr>
          <w:b w:val="0"/>
          <w:bCs w:val="0"/>
          <w:sz w:val="34"/>
          <w:u w:val="none"/>
        </w:rPr>
        <w:t>Rebecca Wild</w:t>
      </w:r>
    </w:p>
    <w:p w:rsidR="001C0D62" w:rsidRDefault="001C0D62">
      <w:pPr>
        <w:rPr>
          <w:rFonts w:ascii="Arial" w:hAnsi="Arial" w:cs="Arial"/>
        </w:rPr>
      </w:pPr>
    </w:p>
    <w:p w:rsidR="001C0D62" w:rsidRDefault="001C0D62">
      <w:pPr>
        <w:jc w:val="center"/>
        <w:rPr>
          <w:rFonts w:ascii="Arial" w:hAnsi="Arial" w:cs="Arial"/>
          <w:sz w:val="32"/>
        </w:rPr>
      </w:pPr>
      <w:r>
        <w:rPr>
          <w:rFonts w:ascii="Arial" w:hAnsi="Arial" w:cs="Arial"/>
        </w:rPr>
        <w:br/>
      </w:r>
      <w:r>
        <w:rPr>
          <w:rFonts w:ascii="Arial" w:hAnsi="Arial" w:cs="Arial"/>
          <w:sz w:val="32"/>
        </w:rPr>
        <w:t>BSc (Hons) Geography &amp; Environmental Management</w:t>
      </w:r>
    </w:p>
    <w:p w:rsidR="001C0D62" w:rsidRDefault="001C0D62">
      <w:pPr>
        <w:jc w:val="center"/>
        <w:rPr>
          <w:rFonts w:ascii="Arial" w:hAnsi="Arial" w:cs="Arial"/>
          <w:sz w:val="32"/>
        </w:rPr>
      </w:pPr>
    </w:p>
    <w:p w:rsidR="001C0D62" w:rsidRDefault="001C0D62">
      <w:pPr>
        <w:jc w:val="center"/>
        <w:rPr>
          <w:rFonts w:ascii="Arial" w:hAnsi="Arial" w:cs="Arial"/>
          <w:sz w:val="32"/>
        </w:rPr>
      </w:pPr>
      <w:r>
        <w:rPr>
          <w:rFonts w:ascii="Arial" w:hAnsi="Arial" w:cs="Arial"/>
          <w:sz w:val="32"/>
        </w:rPr>
        <w:t>Supervisor: Yingkui Zhao</w:t>
      </w:r>
    </w:p>
    <w:p w:rsidR="001C0D62" w:rsidRDefault="001C0D62">
      <w:pPr>
        <w:jc w:val="center"/>
        <w:rPr>
          <w:rFonts w:ascii="Arial" w:hAnsi="Arial" w:cs="Arial"/>
          <w:sz w:val="32"/>
        </w:rPr>
      </w:pPr>
    </w:p>
    <w:p w:rsidR="001C0D62" w:rsidRDefault="001C0D62">
      <w:pPr>
        <w:jc w:val="center"/>
        <w:rPr>
          <w:rFonts w:ascii="Arial" w:hAnsi="Arial" w:cs="Arial"/>
          <w:sz w:val="32"/>
        </w:rPr>
      </w:pPr>
      <w:r>
        <w:rPr>
          <w:rFonts w:ascii="Arial" w:hAnsi="Arial" w:cs="Arial"/>
          <w:sz w:val="32"/>
        </w:rPr>
        <w:t>2013</w:t>
      </w:r>
    </w:p>
    <w:p w:rsidR="001C0D62" w:rsidRDefault="001C0D62">
      <w:pPr>
        <w:jc w:val="center"/>
        <w:rPr>
          <w:rFonts w:ascii="Arial" w:hAnsi="Arial" w:cs="Arial"/>
          <w:sz w:val="32"/>
        </w:rPr>
      </w:pPr>
    </w:p>
    <w:p w:rsidR="001C0D62" w:rsidRDefault="001C0D62">
      <w:pPr>
        <w:rPr>
          <w:rFonts w:ascii="Arial" w:hAnsi="Arial" w:cs="Arial"/>
        </w:rPr>
      </w:pPr>
    </w:p>
    <w:p w:rsidR="001C0D62" w:rsidRDefault="001C0D62">
      <w:pPr>
        <w:rPr>
          <w:rFonts w:ascii="Arial" w:hAnsi="Arial" w:cs="Arial"/>
        </w:rPr>
      </w:pPr>
    </w:p>
    <w:p w:rsidR="001C0D62" w:rsidRDefault="001C0D62">
      <w:pPr>
        <w:jc w:val="right"/>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jc w:val="right"/>
        <w:rPr>
          <w:rFonts w:ascii="Arial" w:hAnsi="Arial" w:cs="Arial"/>
        </w:rPr>
        <w:sectPr w:rsidR="001C0D62">
          <w:footerReference w:type="even" r:id="rId8"/>
          <w:footerReference w:type="default" r:id="rId9"/>
          <w:pgSz w:w="12240" w:h="15840"/>
          <w:pgMar w:top="1440" w:right="1800" w:bottom="1440" w:left="1800" w:header="720" w:footer="720" w:gutter="0"/>
          <w:pgNumType w:fmt="lowerRoman" w:start="1"/>
          <w:cols w:space="720"/>
          <w:titlePg/>
          <w:docGrid w:linePitch="360"/>
        </w:sectPr>
      </w:pPr>
    </w:p>
    <w:p w:rsidR="001C0D62" w:rsidRDefault="001C0D62">
      <w:pPr>
        <w:pStyle w:val="Heading2"/>
      </w:pPr>
      <w:r>
        <w:lastRenderedPageBreak/>
        <w:t>Declaration</w:t>
      </w:r>
    </w:p>
    <w:p w:rsidR="001C0D62" w:rsidRDefault="001C0D62">
      <w:pPr>
        <w:rPr>
          <w:rFonts w:ascii="Arial" w:hAnsi="Arial" w:cs="Arial"/>
        </w:rPr>
      </w:pPr>
    </w:p>
    <w:p w:rsidR="001C0D62" w:rsidRDefault="001C0D62">
      <w:pPr>
        <w:rPr>
          <w:rFonts w:ascii="Arial" w:hAnsi="Arial" w:cs="Arial"/>
        </w:rPr>
      </w:pPr>
    </w:p>
    <w:p w:rsidR="001C0D62" w:rsidRDefault="001C0D62">
      <w:pPr>
        <w:spacing w:line="360" w:lineRule="auto"/>
        <w:rPr>
          <w:rFonts w:ascii="Arial" w:hAnsi="Arial" w:cs="Arial"/>
        </w:rPr>
      </w:pPr>
    </w:p>
    <w:p w:rsidR="001C0D62" w:rsidRDefault="001C0D62">
      <w:pPr>
        <w:spacing w:line="360" w:lineRule="auto"/>
        <w:rPr>
          <w:rFonts w:ascii="Arial" w:hAnsi="Arial" w:cs="Arial"/>
        </w:rPr>
      </w:pPr>
      <w:r>
        <w:rPr>
          <w:rFonts w:ascii="Arial" w:hAnsi="Arial" w:cs="Arial"/>
        </w:rPr>
        <w:t>I declare that the main body of text for this dissertation is no more than 13,489 words and that it is all my own work.</w:t>
      </w: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r>
        <w:rPr>
          <w:rFonts w:ascii="Arial" w:hAnsi="Arial" w:cs="Arial"/>
          <w:b/>
          <w:bCs/>
        </w:rPr>
        <w:t>Signed</w:t>
      </w:r>
      <w:r>
        <w:rPr>
          <w:rFonts w:ascii="Arial" w:hAnsi="Arial" w:cs="Arial"/>
        </w:rPr>
        <w:t>……………………………………………………………………………………..</w:t>
      </w: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r>
        <w:rPr>
          <w:rFonts w:ascii="Arial" w:hAnsi="Arial" w:cs="Arial"/>
        </w:rPr>
        <w:t>Rebecca Wild</w:t>
      </w: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jc w:val="right"/>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pStyle w:val="Heading2"/>
      </w:pPr>
      <w:r>
        <w:lastRenderedPageBreak/>
        <w:t>Abstract</w:t>
      </w:r>
    </w:p>
    <w:p w:rsidR="001C0D62" w:rsidRDefault="001C0D62">
      <w:pPr>
        <w:rPr>
          <w:rFonts w:ascii="Arial" w:hAnsi="Arial" w:cs="Arial"/>
        </w:rPr>
      </w:pPr>
    </w:p>
    <w:p w:rsidR="001C0D62" w:rsidRDefault="001C0D62">
      <w:pPr>
        <w:rPr>
          <w:rFonts w:ascii="Arial" w:hAnsi="Arial" w:cs="Arial"/>
        </w:rPr>
      </w:pPr>
    </w:p>
    <w:p w:rsidR="001C0D62" w:rsidRDefault="001C0D62">
      <w:pPr>
        <w:pStyle w:val="BodyText2"/>
        <w:spacing w:line="360" w:lineRule="auto"/>
      </w:pPr>
      <w:r>
        <w:t xml:space="preserve">There is an increasing interest in the climate and the impact it is having upon the natural world. This project uses the scientific discipline of dendrochronology to assess the climatic effect upon the radial growth of three species of trees (Sycamore, Beech and Oak), over the last 40 years at the woodland of Priestley Clough, </w:t>
      </w:r>
      <w:smartTag w:uri="urn:schemas-microsoft-com:office:smarttags" w:element="place">
        <w:r>
          <w:t>Accrington</w:t>
        </w:r>
      </w:smartTag>
      <w:r>
        <w:t xml:space="preserve">. In order to assess the impact the climatic conditions are having upon the radial growth, precipitation and temperature data were used alongside the average ring width data, which were further statistically analysed. The data showed varied results amongst each species, with some appearing to show little/no response to certain climatic conditions, whilst Oak provided an interesting data set, which proved to be responsive to temperature, with little influence from precipitation. The data set was further analysed alongside similar studies; one in a similar location, similar latitude and the other in the south of </w:t>
      </w:r>
      <w:smartTag w:uri="urn:schemas-microsoft-com:office:smarttags" w:element="country-region">
        <w:smartTag w:uri="urn:schemas-microsoft-com:office:smarttags" w:element="place">
          <w:r>
            <w:t>England</w:t>
          </w:r>
        </w:smartTag>
      </w:smartTag>
      <w:r>
        <w:t xml:space="preserve"> to try and determine if any relationships existed between other research. Although similarities were found, with statistical analysis providing evidence of relationships, the data did not provide definitive evidence that climate was the only factor influencing radial growth.</w:t>
      </w: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pStyle w:val="Heading2"/>
      </w:pPr>
      <w:r>
        <w:lastRenderedPageBreak/>
        <w:t>Acknowledgements</w:t>
      </w:r>
    </w:p>
    <w:p w:rsidR="001C0D62" w:rsidRDefault="001C0D62">
      <w:pPr>
        <w:rPr>
          <w:rFonts w:ascii="Arial" w:hAnsi="Arial" w:cs="Arial"/>
        </w:rPr>
      </w:pPr>
    </w:p>
    <w:p w:rsidR="001C0D62" w:rsidRDefault="001C0D62">
      <w:pPr>
        <w:jc w:val="both"/>
        <w:rPr>
          <w:rFonts w:ascii="Arial" w:hAnsi="Arial" w:cs="Arial"/>
        </w:rPr>
      </w:pPr>
    </w:p>
    <w:p w:rsidR="001C0D62" w:rsidRDefault="001C0D62">
      <w:pPr>
        <w:spacing w:line="360" w:lineRule="auto"/>
        <w:jc w:val="both"/>
        <w:rPr>
          <w:rFonts w:ascii="Arial" w:hAnsi="Arial" w:cs="Arial"/>
        </w:rPr>
      </w:pPr>
      <w:r>
        <w:rPr>
          <w:rFonts w:ascii="Arial" w:hAnsi="Arial" w:cs="Arial"/>
        </w:rPr>
        <w:t>I would like to thank the staff at the SBNE for their help and encouragement throughout my dissertation. I would also like to thank Yingkui Zhao for giving me additional help as a supervisor.</w:t>
      </w: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rPr>
      </w:pPr>
      <w:r>
        <w:rPr>
          <w:rFonts w:ascii="Arial" w:hAnsi="Arial" w:cs="Arial"/>
        </w:rPr>
        <w:t xml:space="preserve">I would like to thank Philip Johnson (Tree &amp; Woodlands Officer – Hyndburn Borough Council) for allowing permission to core the trees at Priestley Clough, </w:t>
      </w:r>
      <w:smartTag w:uri="urn:schemas-microsoft-com:office:smarttags" w:element="place">
        <w:r>
          <w:rPr>
            <w:rFonts w:ascii="Arial" w:hAnsi="Arial" w:cs="Arial"/>
          </w:rPr>
          <w:t>Accrington</w:t>
        </w:r>
      </w:smartTag>
      <w:r>
        <w:rPr>
          <w:rFonts w:ascii="Arial" w:hAnsi="Arial" w:cs="Arial"/>
        </w:rPr>
        <w:t>.</w:t>
      </w:r>
    </w:p>
    <w:p w:rsidR="001C0D62" w:rsidRDefault="001C0D62">
      <w:pPr>
        <w:spacing w:line="360" w:lineRule="auto"/>
        <w:jc w:val="both"/>
        <w:rPr>
          <w:rFonts w:ascii="Arial" w:hAnsi="Arial" w:cs="Arial"/>
        </w:rPr>
      </w:pPr>
    </w:p>
    <w:p w:rsidR="001C0D62" w:rsidRDefault="001C0D62" w:rsidP="00D35187">
      <w:pPr>
        <w:spacing w:line="360" w:lineRule="auto"/>
        <w:jc w:val="both"/>
        <w:rPr>
          <w:rFonts w:ascii="Arial" w:hAnsi="Arial" w:cs="Arial"/>
        </w:rPr>
      </w:pPr>
      <w:r>
        <w:rPr>
          <w:rFonts w:ascii="Arial" w:hAnsi="Arial" w:cs="Arial"/>
        </w:rPr>
        <w:t>In addition I would like to thank Christopher Heffernan who helped in the field (carrying equipment, taking photographs, taking notes).</w:t>
      </w:r>
    </w:p>
    <w:p w:rsidR="001C0D62" w:rsidRDefault="001C0D62">
      <w:pPr>
        <w:pStyle w:val="Heading3"/>
        <w:rPr>
          <w:sz w:val="22"/>
          <w:szCs w:val="22"/>
        </w:rPr>
      </w:pPr>
    </w:p>
    <w:p w:rsidR="00D35187" w:rsidRDefault="00D35187" w:rsidP="00D35187"/>
    <w:p w:rsidR="00D35187" w:rsidRDefault="00D35187" w:rsidP="00D35187"/>
    <w:p w:rsidR="00D35187" w:rsidRDefault="00D35187" w:rsidP="00D35187"/>
    <w:p w:rsidR="00D35187" w:rsidRDefault="00D35187" w:rsidP="00D35187"/>
    <w:p w:rsidR="00D35187" w:rsidRDefault="00D35187" w:rsidP="00D35187"/>
    <w:p w:rsidR="00D35187" w:rsidRDefault="00D35187" w:rsidP="00D35187"/>
    <w:p w:rsidR="00D35187" w:rsidRDefault="00D35187" w:rsidP="00D35187"/>
    <w:p w:rsidR="00D35187" w:rsidRDefault="00D35187" w:rsidP="00D35187"/>
    <w:p w:rsidR="00D35187" w:rsidRDefault="00D35187" w:rsidP="00D35187"/>
    <w:p w:rsidR="00D35187" w:rsidRDefault="00D35187" w:rsidP="00D35187"/>
    <w:p w:rsidR="00D35187" w:rsidRDefault="00D35187" w:rsidP="00D35187"/>
    <w:p w:rsidR="00D35187" w:rsidRDefault="00D35187" w:rsidP="00D35187"/>
    <w:p w:rsidR="00D35187" w:rsidRDefault="00D35187" w:rsidP="00D35187"/>
    <w:p w:rsidR="00D35187" w:rsidRDefault="00D35187" w:rsidP="00D35187"/>
    <w:p w:rsidR="00D35187" w:rsidRDefault="00D35187" w:rsidP="00D35187"/>
    <w:p w:rsidR="00D35187" w:rsidRDefault="00D35187" w:rsidP="00D35187"/>
    <w:p w:rsidR="00D35187" w:rsidRDefault="00D35187" w:rsidP="00D35187"/>
    <w:p w:rsidR="00D35187" w:rsidRDefault="00D35187" w:rsidP="00D35187"/>
    <w:p w:rsidR="00D35187" w:rsidRDefault="00D35187" w:rsidP="00D35187"/>
    <w:p w:rsidR="00D35187" w:rsidRDefault="00D35187" w:rsidP="00D35187"/>
    <w:p w:rsidR="00D35187" w:rsidRDefault="00D35187" w:rsidP="00D35187"/>
    <w:p w:rsidR="00D35187" w:rsidRDefault="00D35187" w:rsidP="00D35187"/>
    <w:p w:rsidR="00D35187" w:rsidRDefault="00D35187" w:rsidP="00D35187"/>
    <w:p w:rsidR="00D35187" w:rsidRDefault="00D35187" w:rsidP="00D35187"/>
    <w:p w:rsidR="00D35187" w:rsidRPr="00D35187" w:rsidRDefault="00D35187" w:rsidP="00D35187"/>
    <w:p w:rsidR="001C0D62" w:rsidRDefault="001C0D62">
      <w:pPr>
        <w:jc w:val="both"/>
        <w:rPr>
          <w:rFonts w:ascii="Arial" w:hAnsi="Arial" w:cs="Arial"/>
          <w:sz w:val="28"/>
        </w:rPr>
      </w:pPr>
    </w:p>
    <w:p w:rsidR="00D35187" w:rsidRDefault="00D35187" w:rsidP="00D35187">
      <w:pPr>
        <w:pStyle w:val="Heading2"/>
      </w:pPr>
      <w:r>
        <w:lastRenderedPageBreak/>
        <w:t>Contents Page</w:t>
      </w:r>
    </w:p>
    <w:p w:rsidR="00D35187" w:rsidRPr="007740BA" w:rsidRDefault="00D35187" w:rsidP="00D35187">
      <w:pPr>
        <w:jc w:val="center"/>
        <w:rPr>
          <w:rFonts w:ascii="Arial" w:hAnsi="Arial" w:cs="Arial"/>
          <w:sz w:val="40"/>
          <w:szCs w:val="40"/>
        </w:rPr>
      </w:pPr>
    </w:p>
    <w:tbl>
      <w:tblPr>
        <w:tblpPr w:leftFromText="180" w:rightFromText="180" w:vertAnchor="text" w:tblpX="8029" w:tblpY="8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28"/>
      </w:tblGrid>
      <w:tr w:rsidR="00D35187">
        <w:tblPrEx>
          <w:tblCellMar>
            <w:top w:w="0" w:type="dxa"/>
            <w:bottom w:w="0" w:type="dxa"/>
          </w:tblCellMar>
        </w:tblPrEx>
        <w:trPr>
          <w:trHeight w:val="11880"/>
        </w:trPr>
        <w:tc>
          <w:tcPr>
            <w:tcW w:w="828" w:type="dxa"/>
            <w:tcBorders>
              <w:top w:val="nil"/>
              <w:left w:val="nil"/>
              <w:bottom w:val="nil"/>
              <w:right w:val="nil"/>
            </w:tcBorders>
          </w:tcPr>
          <w:p w:rsidR="00D35187" w:rsidRPr="00D54271" w:rsidRDefault="00D35187" w:rsidP="003136A7">
            <w:pPr>
              <w:pStyle w:val="Heading3"/>
              <w:jc w:val="center"/>
              <w:rPr>
                <w:b/>
                <w:sz w:val="24"/>
              </w:rPr>
            </w:pPr>
            <w:r w:rsidRPr="00D54271">
              <w:rPr>
                <w:b/>
                <w:sz w:val="24"/>
              </w:rPr>
              <w:t>vi</w:t>
            </w:r>
          </w:p>
          <w:p w:rsidR="00D35187" w:rsidRPr="002F0C5B" w:rsidRDefault="00D35187" w:rsidP="003136A7">
            <w:pPr>
              <w:jc w:val="center"/>
              <w:rPr>
                <w:rFonts w:ascii="Arial" w:hAnsi="Arial" w:cs="Arial"/>
                <w:b/>
              </w:rPr>
            </w:pPr>
          </w:p>
          <w:p w:rsidR="00D35187" w:rsidRPr="002F0C5B" w:rsidRDefault="00D35187" w:rsidP="003136A7">
            <w:pPr>
              <w:jc w:val="center"/>
              <w:rPr>
                <w:rFonts w:ascii="Arial" w:hAnsi="Arial" w:cs="Arial"/>
                <w:b/>
              </w:rPr>
            </w:pPr>
            <w:r w:rsidRPr="002F0C5B">
              <w:rPr>
                <w:rFonts w:ascii="Arial" w:hAnsi="Arial" w:cs="Arial"/>
                <w:b/>
              </w:rPr>
              <w:t>vii</w:t>
            </w:r>
          </w:p>
          <w:p w:rsidR="00D35187" w:rsidRPr="002F0C5B" w:rsidRDefault="00D35187" w:rsidP="00B128A1">
            <w:pPr>
              <w:rPr>
                <w:rFonts w:ascii="Arial" w:hAnsi="Arial" w:cs="Arial"/>
                <w:b/>
              </w:rPr>
            </w:pPr>
          </w:p>
          <w:p w:rsidR="00D35187" w:rsidRPr="002F0C5B" w:rsidRDefault="00D35187" w:rsidP="00B128A1">
            <w:pPr>
              <w:rPr>
                <w:rFonts w:ascii="Arial" w:hAnsi="Arial" w:cs="Arial"/>
                <w:b/>
              </w:rPr>
            </w:pPr>
          </w:p>
          <w:p w:rsidR="00D35187" w:rsidRPr="00D54271" w:rsidRDefault="00D35187" w:rsidP="003136A7">
            <w:pPr>
              <w:jc w:val="center"/>
              <w:rPr>
                <w:rFonts w:ascii="Arial" w:hAnsi="Arial" w:cs="Arial"/>
                <w:b/>
                <w:sz w:val="26"/>
                <w:szCs w:val="26"/>
              </w:rPr>
            </w:pPr>
            <w:r w:rsidRPr="00D54271">
              <w:rPr>
                <w:rFonts w:ascii="Arial" w:hAnsi="Arial" w:cs="Arial"/>
                <w:b/>
                <w:sz w:val="26"/>
                <w:szCs w:val="26"/>
              </w:rPr>
              <w:t>1</w:t>
            </w:r>
          </w:p>
          <w:p w:rsidR="00D35187" w:rsidRPr="00D54271" w:rsidRDefault="00D35187" w:rsidP="003136A7">
            <w:pPr>
              <w:jc w:val="center"/>
              <w:rPr>
                <w:rFonts w:ascii="Arial" w:hAnsi="Arial" w:cs="Arial"/>
                <w:b/>
                <w:sz w:val="23"/>
                <w:szCs w:val="23"/>
              </w:rPr>
            </w:pPr>
            <w:r w:rsidRPr="00D54271">
              <w:rPr>
                <w:rFonts w:ascii="Arial" w:hAnsi="Arial" w:cs="Arial"/>
                <w:b/>
                <w:sz w:val="23"/>
                <w:szCs w:val="23"/>
              </w:rPr>
              <w:t>2</w:t>
            </w:r>
          </w:p>
          <w:p w:rsidR="00D35187" w:rsidRPr="00D54271" w:rsidRDefault="00D35187" w:rsidP="003136A7">
            <w:pPr>
              <w:jc w:val="center"/>
              <w:rPr>
                <w:rFonts w:ascii="Arial" w:hAnsi="Arial" w:cs="Arial"/>
                <w:b/>
                <w:sz w:val="23"/>
                <w:szCs w:val="23"/>
              </w:rPr>
            </w:pPr>
            <w:r w:rsidRPr="00D54271">
              <w:rPr>
                <w:rFonts w:ascii="Arial" w:hAnsi="Arial" w:cs="Arial"/>
                <w:b/>
                <w:sz w:val="23"/>
                <w:szCs w:val="23"/>
              </w:rPr>
              <w:t>4</w:t>
            </w:r>
          </w:p>
          <w:p w:rsidR="00D35187" w:rsidRPr="00D54271" w:rsidRDefault="00D35187" w:rsidP="003136A7">
            <w:pPr>
              <w:jc w:val="center"/>
              <w:rPr>
                <w:rFonts w:ascii="Arial" w:hAnsi="Arial" w:cs="Arial"/>
                <w:b/>
                <w:sz w:val="23"/>
                <w:szCs w:val="23"/>
              </w:rPr>
            </w:pPr>
            <w:r w:rsidRPr="00D54271">
              <w:rPr>
                <w:rFonts w:ascii="Arial" w:hAnsi="Arial" w:cs="Arial"/>
                <w:b/>
                <w:sz w:val="23"/>
                <w:szCs w:val="23"/>
              </w:rPr>
              <w:t>5</w:t>
            </w:r>
          </w:p>
          <w:p w:rsidR="00D35187" w:rsidRPr="007740BA" w:rsidRDefault="00D35187" w:rsidP="003136A7">
            <w:pPr>
              <w:jc w:val="center"/>
              <w:rPr>
                <w:rFonts w:ascii="Arial" w:hAnsi="Arial" w:cs="Arial"/>
                <w:b/>
                <w:sz w:val="32"/>
                <w:szCs w:val="32"/>
              </w:rPr>
            </w:pPr>
          </w:p>
          <w:p w:rsidR="00D35187" w:rsidRPr="00D54271" w:rsidRDefault="00D35187" w:rsidP="003136A7">
            <w:pPr>
              <w:jc w:val="center"/>
              <w:rPr>
                <w:rFonts w:ascii="Arial" w:hAnsi="Arial" w:cs="Arial"/>
                <w:b/>
                <w:sz w:val="26"/>
                <w:szCs w:val="26"/>
              </w:rPr>
            </w:pPr>
            <w:r w:rsidRPr="00D54271">
              <w:rPr>
                <w:rFonts w:ascii="Arial" w:hAnsi="Arial" w:cs="Arial"/>
                <w:b/>
                <w:sz w:val="26"/>
                <w:szCs w:val="26"/>
              </w:rPr>
              <w:t>6</w:t>
            </w:r>
          </w:p>
          <w:p w:rsidR="00D35187" w:rsidRPr="00D54271" w:rsidRDefault="00D35187" w:rsidP="003136A7">
            <w:pPr>
              <w:jc w:val="center"/>
              <w:rPr>
                <w:rFonts w:ascii="Arial" w:hAnsi="Arial" w:cs="Arial"/>
                <w:b/>
                <w:sz w:val="23"/>
                <w:szCs w:val="23"/>
              </w:rPr>
            </w:pPr>
            <w:r w:rsidRPr="00D54271">
              <w:rPr>
                <w:rFonts w:ascii="Arial" w:hAnsi="Arial" w:cs="Arial"/>
                <w:b/>
                <w:sz w:val="23"/>
                <w:szCs w:val="23"/>
              </w:rPr>
              <w:t>6</w:t>
            </w:r>
          </w:p>
          <w:p w:rsidR="00D35187" w:rsidRPr="00D54271" w:rsidRDefault="00D35187" w:rsidP="003136A7">
            <w:pPr>
              <w:jc w:val="center"/>
              <w:rPr>
                <w:rFonts w:ascii="Arial" w:hAnsi="Arial" w:cs="Arial"/>
                <w:b/>
                <w:sz w:val="23"/>
                <w:szCs w:val="23"/>
              </w:rPr>
            </w:pPr>
            <w:r w:rsidRPr="00D54271">
              <w:rPr>
                <w:rFonts w:ascii="Arial" w:hAnsi="Arial" w:cs="Arial"/>
                <w:b/>
                <w:sz w:val="23"/>
                <w:szCs w:val="23"/>
              </w:rPr>
              <w:t>7</w:t>
            </w:r>
          </w:p>
          <w:p w:rsidR="00D35187" w:rsidRPr="00D54271" w:rsidRDefault="00D35187" w:rsidP="003136A7">
            <w:pPr>
              <w:jc w:val="center"/>
              <w:rPr>
                <w:rFonts w:ascii="Arial" w:hAnsi="Arial" w:cs="Arial"/>
                <w:b/>
                <w:sz w:val="23"/>
                <w:szCs w:val="23"/>
              </w:rPr>
            </w:pPr>
            <w:r w:rsidRPr="00D54271">
              <w:rPr>
                <w:rFonts w:ascii="Arial" w:hAnsi="Arial" w:cs="Arial"/>
                <w:b/>
                <w:sz w:val="23"/>
                <w:szCs w:val="23"/>
              </w:rPr>
              <w:t>8</w:t>
            </w:r>
          </w:p>
          <w:p w:rsidR="00D35187" w:rsidRPr="007740BA" w:rsidRDefault="00D35187" w:rsidP="003136A7">
            <w:pPr>
              <w:jc w:val="center"/>
              <w:rPr>
                <w:rFonts w:ascii="Arial" w:hAnsi="Arial" w:cs="Arial"/>
                <w:b/>
                <w:sz w:val="16"/>
                <w:szCs w:val="16"/>
              </w:rPr>
            </w:pPr>
          </w:p>
          <w:p w:rsidR="00D35187" w:rsidRPr="007740BA" w:rsidRDefault="00D35187" w:rsidP="003136A7">
            <w:pPr>
              <w:jc w:val="center"/>
              <w:rPr>
                <w:rFonts w:ascii="Arial" w:hAnsi="Arial" w:cs="Arial"/>
                <w:b/>
              </w:rPr>
            </w:pPr>
            <w:r w:rsidRPr="00D54271">
              <w:rPr>
                <w:rFonts w:ascii="Arial" w:hAnsi="Arial" w:cs="Arial"/>
                <w:b/>
                <w:sz w:val="23"/>
                <w:szCs w:val="23"/>
              </w:rPr>
              <w:t>8</w:t>
            </w:r>
          </w:p>
          <w:p w:rsidR="00D35187" w:rsidRPr="00D54271" w:rsidRDefault="00D35187" w:rsidP="003136A7">
            <w:pPr>
              <w:jc w:val="center"/>
              <w:rPr>
                <w:rFonts w:ascii="Arial" w:hAnsi="Arial" w:cs="Arial"/>
                <w:b/>
                <w:sz w:val="23"/>
                <w:szCs w:val="23"/>
              </w:rPr>
            </w:pPr>
            <w:r w:rsidRPr="00D54271">
              <w:rPr>
                <w:rFonts w:ascii="Arial" w:hAnsi="Arial" w:cs="Arial"/>
                <w:b/>
                <w:sz w:val="23"/>
                <w:szCs w:val="23"/>
              </w:rPr>
              <w:t>10</w:t>
            </w:r>
          </w:p>
          <w:p w:rsidR="00D35187" w:rsidRPr="00D54271" w:rsidRDefault="00D35187" w:rsidP="003136A7">
            <w:pPr>
              <w:jc w:val="center"/>
              <w:rPr>
                <w:rFonts w:ascii="Arial" w:hAnsi="Arial" w:cs="Arial"/>
                <w:b/>
                <w:sz w:val="23"/>
                <w:szCs w:val="23"/>
              </w:rPr>
            </w:pPr>
            <w:r w:rsidRPr="00D54271">
              <w:rPr>
                <w:rFonts w:ascii="Arial" w:hAnsi="Arial" w:cs="Arial"/>
                <w:b/>
                <w:sz w:val="23"/>
                <w:szCs w:val="23"/>
              </w:rPr>
              <w:t>12</w:t>
            </w:r>
          </w:p>
          <w:p w:rsidR="00D35187" w:rsidRPr="00D54271" w:rsidRDefault="00D35187" w:rsidP="003136A7">
            <w:pPr>
              <w:jc w:val="center"/>
              <w:rPr>
                <w:rFonts w:ascii="Arial" w:hAnsi="Arial" w:cs="Arial"/>
                <w:b/>
                <w:sz w:val="23"/>
                <w:szCs w:val="23"/>
              </w:rPr>
            </w:pPr>
            <w:r w:rsidRPr="00D54271">
              <w:rPr>
                <w:rFonts w:ascii="Arial" w:hAnsi="Arial" w:cs="Arial"/>
                <w:b/>
                <w:sz w:val="23"/>
                <w:szCs w:val="23"/>
              </w:rPr>
              <w:t>13</w:t>
            </w:r>
          </w:p>
          <w:p w:rsidR="00D35187" w:rsidRPr="00D54271" w:rsidRDefault="00D35187" w:rsidP="003136A7">
            <w:pPr>
              <w:jc w:val="center"/>
              <w:rPr>
                <w:rFonts w:ascii="Arial" w:hAnsi="Arial" w:cs="Arial"/>
                <w:b/>
                <w:sz w:val="23"/>
                <w:szCs w:val="23"/>
              </w:rPr>
            </w:pPr>
            <w:r w:rsidRPr="00D54271">
              <w:rPr>
                <w:rFonts w:ascii="Arial" w:hAnsi="Arial" w:cs="Arial"/>
                <w:b/>
                <w:sz w:val="23"/>
                <w:szCs w:val="23"/>
              </w:rPr>
              <w:t>14</w:t>
            </w:r>
          </w:p>
          <w:p w:rsidR="00D35187" w:rsidRPr="00D54271" w:rsidRDefault="00D35187" w:rsidP="003136A7">
            <w:pPr>
              <w:jc w:val="center"/>
              <w:rPr>
                <w:rFonts w:ascii="Arial" w:hAnsi="Arial" w:cs="Arial"/>
                <w:b/>
                <w:sz w:val="23"/>
                <w:szCs w:val="23"/>
              </w:rPr>
            </w:pPr>
            <w:r w:rsidRPr="00D54271">
              <w:rPr>
                <w:rFonts w:ascii="Arial" w:hAnsi="Arial" w:cs="Arial"/>
                <w:b/>
                <w:sz w:val="23"/>
                <w:szCs w:val="23"/>
              </w:rPr>
              <w:t>14</w:t>
            </w:r>
          </w:p>
          <w:p w:rsidR="00D35187" w:rsidRPr="00D54271" w:rsidRDefault="00D35187" w:rsidP="003136A7">
            <w:pPr>
              <w:jc w:val="center"/>
              <w:rPr>
                <w:rFonts w:ascii="Arial" w:hAnsi="Arial" w:cs="Arial"/>
                <w:b/>
                <w:sz w:val="23"/>
                <w:szCs w:val="23"/>
              </w:rPr>
            </w:pPr>
            <w:r w:rsidRPr="00D54271">
              <w:rPr>
                <w:rFonts w:ascii="Arial" w:hAnsi="Arial" w:cs="Arial"/>
                <w:b/>
                <w:sz w:val="23"/>
                <w:szCs w:val="23"/>
              </w:rPr>
              <w:t>17</w:t>
            </w:r>
          </w:p>
          <w:p w:rsidR="00D35187" w:rsidRPr="00D54271" w:rsidRDefault="00D35187" w:rsidP="003136A7">
            <w:pPr>
              <w:jc w:val="center"/>
              <w:rPr>
                <w:rFonts w:ascii="Arial" w:hAnsi="Arial" w:cs="Arial"/>
                <w:b/>
                <w:sz w:val="23"/>
                <w:szCs w:val="23"/>
              </w:rPr>
            </w:pPr>
            <w:r w:rsidRPr="00D54271">
              <w:rPr>
                <w:rFonts w:ascii="Arial" w:hAnsi="Arial" w:cs="Arial"/>
                <w:b/>
                <w:sz w:val="23"/>
                <w:szCs w:val="23"/>
              </w:rPr>
              <w:t>17</w:t>
            </w:r>
          </w:p>
          <w:p w:rsidR="00D35187" w:rsidRPr="00D54271" w:rsidRDefault="00D35187" w:rsidP="003136A7">
            <w:pPr>
              <w:jc w:val="center"/>
              <w:rPr>
                <w:rFonts w:ascii="Arial" w:hAnsi="Arial" w:cs="Arial"/>
                <w:b/>
                <w:sz w:val="23"/>
                <w:szCs w:val="23"/>
              </w:rPr>
            </w:pPr>
            <w:r w:rsidRPr="00D54271">
              <w:rPr>
                <w:rFonts w:ascii="Arial" w:hAnsi="Arial" w:cs="Arial"/>
                <w:b/>
                <w:sz w:val="23"/>
                <w:szCs w:val="23"/>
              </w:rPr>
              <w:t>18</w:t>
            </w:r>
          </w:p>
          <w:p w:rsidR="00D35187" w:rsidRPr="00D54271" w:rsidRDefault="00D35187" w:rsidP="003136A7">
            <w:pPr>
              <w:jc w:val="center"/>
              <w:rPr>
                <w:rFonts w:ascii="Arial" w:hAnsi="Arial" w:cs="Arial"/>
                <w:b/>
                <w:sz w:val="23"/>
                <w:szCs w:val="23"/>
              </w:rPr>
            </w:pPr>
            <w:r w:rsidRPr="00D54271">
              <w:rPr>
                <w:rFonts w:ascii="Arial" w:hAnsi="Arial" w:cs="Arial"/>
                <w:b/>
                <w:sz w:val="23"/>
                <w:szCs w:val="23"/>
              </w:rPr>
              <w:t>20</w:t>
            </w:r>
          </w:p>
          <w:p w:rsidR="00D35187" w:rsidRPr="007740BA" w:rsidRDefault="00D35187" w:rsidP="003136A7">
            <w:pPr>
              <w:jc w:val="center"/>
              <w:rPr>
                <w:rFonts w:ascii="Arial" w:hAnsi="Arial" w:cs="Arial"/>
                <w:b/>
                <w:sz w:val="34"/>
                <w:szCs w:val="34"/>
              </w:rPr>
            </w:pPr>
          </w:p>
          <w:p w:rsidR="00D35187" w:rsidRPr="00D54271" w:rsidRDefault="00D35187" w:rsidP="003136A7">
            <w:pPr>
              <w:jc w:val="center"/>
              <w:rPr>
                <w:rFonts w:ascii="Arial" w:hAnsi="Arial" w:cs="Arial"/>
                <w:b/>
                <w:sz w:val="26"/>
                <w:szCs w:val="26"/>
              </w:rPr>
            </w:pPr>
            <w:r w:rsidRPr="00D54271">
              <w:rPr>
                <w:rFonts w:ascii="Arial" w:hAnsi="Arial" w:cs="Arial"/>
                <w:b/>
                <w:sz w:val="26"/>
                <w:szCs w:val="26"/>
              </w:rPr>
              <w:t>21</w:t>
            </w:r>
          </w:p>
          <w:p w:rsidR="00D35187" w:rsidRPr="00D54271" w:rsidRDefault="00D35187" w:rsidP="003136A7">
            <w:pPr>
              <w:jc w:val="center"/>
              <w:rPr>
                <w:rFonts w:ascii="Arial" w:hAnsi="Arial" w:cs="Arial"/>
                <w:b/>
                <w:sz w:val="23"/>
                <w:szCs w:val="23"/>
              </w:rPr>
            </w:pPr>
            <w:r w:rsidRPr="00D54271">
              <w:rPr>
                <w:rFonts w:ascii="Arial" w:hAnsi="Arial" w:cs="Arial"/>
                <w:b/>
                <w:sz w:val="23"/>
                <w:szCs w:val="23"/>
              </w:rPr>
              <w:t>21</w:t>
            </w:r>
          </w:p>
          <w:p w:rsidR="00D35187" w:rsidRPr="00D54271" w:rsidRDefault="00D35187" w:rsidP="003136A7">
            <w:pPr>
              <w:jc w:val="center"/>
              <w:rPr>
                <w:rFonts w:ascii="Arial" w:hAnsi="Arial" w:cs="Arial"/>
                <w:b/>
                <w:sz w:val="23"/>
                <w:szCs w:val="23"/>
              </w:rPr>
            </w:pPr>
            <w:r w:rsidRPr="00D54271">
              <w:rPr>
                <w:rFonts w:ascii="Arial" w:hAnsi="Arial" w:cs="Arial"/>
                <w:b/>
                <w:sz w:val="23"/>
                <w:szCs w:val="23"/>
              </w:rPr>
              <w:t>24</w:t>
            </w:r>
          </w:p>
          <w:p w:rsidR="00D35187" w:rsidRPr="00D54271" w:rsidRDefault="00D35187" w:rsidP="003136A7">
            <w:pPr>
              <w:jc w:val="center"/>
              <w:rPr>
                <w:rFonts w:ascii="Arial" w:hAnsi="Arial" w:cs="Arial"/>
                <w:b/>
                <w:sz w:val="23"/>
                <w:szCs w:val="23"/>
              </w:rPr>
            </w:pPr>
            <w:r w:rsidRPr="00D54271">
              <w:rPr>
                <w:rFonts w:ascii="Arial" w:hAnsi="Arial" w:cs="Arial"/>
                <w:b/>
                <w:sz w:val="23"/>
                <w:szCs w:val="23"/>
              </w:rPr>
              <w:t>25</w:t>
            </w:r>
          </w:p>
          <w:p w:rsidR="00D35187" w:rsidRPr="00D54271" w:rsidRDefault="00D35187" w:rsidP="003136A7">
            <w:pPr>
              <w:jc w:val="center"/>
              <w:rPr>
                <w:rFonts w:ascii="Arial" w:hAnsi="Arial" w:cs="Arial"/>
                <w:b/>
                <w:sz w:val="23"/>
                <w:szCs w:val="23"/>
              </w:rPr>
            </w:pPr>
            <w:r w:rsidRPr="00D54271">
              <w:rPr>
                <w:rFonts w:ascii="Arial" w:hAnsi="Arial" w:cs="Arial"/>
                <w:b/>
                <w:sz w:val="23"/>
                <w:szCs w:val="23"/>
              </w:rPr>
              <w:t>28</w:t>
            </w:r>
          </w:p>
          <w:p w:rsidR="00D35187" w:rsidRPr="00D54271" w:rsidRDefault="00D35187" w:rsidP="003136A7">
            <w:pPr>
              <w:jc w:val="center"/>
              <w:rPr>
                <w:rFonts w:ascii="Arial" w:hAnsi="Arial" w:cs="Arial"/>
                <w:b/>
                <w:sz w:val="23"/>
                <w:szCs w:val="23"/>
              </w:rPr>
            </w:pPr>
            <w:r w:rsidRPr="00D54271">
              <w:rPr>
                <w:rFonts w:ascii="Arial" w:hAnsi="Arial" w:cs="Arial"/>
                <w:b/>
                <w:sz w:val="23"/>
                <w:szCs w:val="23"/>
              </w:rPr>
              <w:t>31</w:t>
            </w:r>
          </w:p>
          <w:p w:rsidR="00D35187" w:rsidRPr="00D54271" w:rsidRDefault="00D35187" w:rsidP="003136A7">
            <w:pPr>
              <w:jc w:val="center"/>
              <w:rPr>
                <w:rFonts w:ascii="Arial" w:hAnsi="Arial" w:cs="Arial"/>
                <w:b/>
                <w:sz w:val="23"/>
                <w:szCs w:val="23"/>
              </w:rPr>
            </w:pPr>
            <w:r w:rsidRPr="00D54271">
              <w:rPr>
                <w:rFonts w:ascii="Arial" w:hAnsi="Arial" w:cs="Arial"/>
                <w:b/>
                <w:sz w:val="23"/>
                <w:szCs w:val="23"/>
              </w:rPr>
              <w:t>36</w:t>
            </w:r>
          </w:p>
          <w:p w:rsidR="00D35187" w:rsidRPr="007740BA" w:rsidRDefault="00D35187" w:rsidP="003136A7">
            <w:pPr>
              <w:jc w:val="center"/>
              <w:rPr>
                <w:rFonts w:ascii="Arial" w:hAnsi="Arial" w:cs="Arial"/>
                <w:b/>
                <w:sz w:val="28"/>
                <w:szCs w:val="28"/>
              </w:rPr>
            </w:pPr>
          </w:p>
          <w:p w:rsidR="00D35187" w:rsidRPr="00B53D21" w:rsidRDefault="00D35187" w:rsidP="003136A7">
            <w:pPr>
              <w:jc w:val="center"/>
              <w:rPr>
                <w:rFonts w:ascii="Arial" w:hAnsi="Arial" w:cs="Arial"/>
                <w:b/>
                <w:sz w:val="26"/>
                <w:szCs w:val="26"/>
              </w:rPr>
            </w:pPr>
            <w:r w:rsidRPr="00B53D21">
              <w:rPr>
                <w:rFonts w:ascii="Arial" w:hAnsi="Arial" w:cs="Arial"/>
                <w:b/>
                <w:sz w:val="26"/>
                <w:szCs w:val="26"/>
              </w:rPr>
              <w:t>33</w:t>
            </w:r>
          </w:p>
          <w:p w:rsidR="00D35187" w:rsidRPr="00B53D21" w:rsidRDefault="00D35187" w:rsidP="003136A7">
            <w:pPr>
              <w:jc w:val="center"/>
              <w:rPr>
                <w:rFonts w:ascii="Arial" w:hAnsi="Arial" w:cs="Arial"/>
                <w:b/>
                <w:sz w:val="23"/>
                <w:szCs w:val="23"/>
              </w:rPr>
            </w:pPr>
            <w:r w:rsidRPr="00B53D21">
              <w:rPr>
                <w:rFonts w:ascii="Arial" w:hAnsi="Arial" w:cs="Arial"/>
                <w:b/>
                <w:sz w:val="23"/>
                <w:szCs w:val="23"/>
              </w:rPr>
              <w:t>33</w:t>
            </w:r>
          </w:p>
          <w:p w:rsidR="00D35187" w:rsidRPr="00B53D21" w:rsidRDefault="00D35187" w:rsidP="003136A7">
            <w:pPr>
              <w:jc w:val="center"/>
              <w:rPr>
                <w:rFonts w:ascii="Arial" w:hAnsi="Arial" w:cs="Arial"/>
                <w:b/>
                <w:sz w:val="23"/>
                <w:szCs w:val="23"/>
              </w:rPr>
            </w:pPr>
            <w:r w:rsidRPr="00B53D21">
              <w:rPr>
                <w:rFonts w:ascii="Arial" w:hAnsi="Arial" w:cs="Arial"/>
                <w:b/>
                <w:sz w:val="23"/>
                <w:szCs w:val="23"/>
              </w:rPr>
              <w:t>38</w:t>
            </w:r>
          </w:p>
          <w:p w:rsidR="00D35187" w:rsidRPr="00B53D21" w:rsidRDefault="00D35187" w:rsidP="003136A7">
            <w:pPr>
              <w:jc w:val="center"/>
              <w:rPr>
                <w:rFonts w:ascii="Arial" w:hAnsi="Arial" w:cs="Arial"/>
                <w:b/>
                <w:sz w:val="23"/>
                <w:szCs w:val="23"/>
              </w:rPr>
            </w:pPr>
            <w:r w:rsidRPr="00B53D21">
              <w:rPr>
                <w:rFonts w:ascii="Arial" w:hAnsi="Arial" w:cs="Arial"/>
                <w:b/>
                <w:sz w:val="23"/>
                <w:szCs w:val="23"/>
              </w:rPr>
              <w:t>45</w:t>
            </w:r>
          </w:p>
          <w:p w:rsidR="00D35187" w:rsidRPr="00B53D21" w:rsidRDefault="00D35187" w:rsidP="003136A7">
            <w:pPr>
              <w:jc w:val="center"/>
              <w:rPr>
                <w:rFonts w:ascii="Arial" w:hAnsi="Arial" w:cs="Arial"/>
                <w:b/>
                <w:sz w:val="23"/>
                <w:szCs w:val="23"/>
              </w:rPr>
            </w:pPr>
            <w:r w:rsidRPr="00B53D21">
              <w:rPr>
                <w:rFonts w:ascii="Arial" w:hAnsi="Arial" w:cs="Arial"/>
                <w:b/>
                <w:sz w:val="23"/>
                <w:szCs w:val="23"/>
              </w:rPr>
              <w:t>53</w:t>
            </w:r>
          </w:p>
          <w:p w:rsidR="00D35187" w:rsidRPr="00B53D21" w:rsidRDefault="00D35187" w:rsidP="003136A7">
            <w:pPr>
              <w:jc w:val="center"/>
              <w:rPr>
                <w:rFonts w:ascii="Arial" w:hAnsi="Arial" w:cs="Arial"/>
                <w:b/>
                <w:sz w:val="23"/>
                <w:szCs w:val="23"/>
              </w:rPr>
            </w:pPr>
            <w:r w:rsidRPr="00B53D21">
              <w:rPr>
                <w:rFonts w:ascii="Arial" w:hAnsi="Arial" w:cs="Arial"/>
                <w:b/>
                <w:sz w:val="23"/>
                <w:szCs w:val="23"/>
              </w:rPr>
              <w:t>53</w:t>
            </w:r>
          </w:p>
          <w:p w:rsidR="00D35187" w:rsidRPr="00B53D21" w:rsidRDefault="00D35187" w:rsidP="003136A7">
            <w:pPr>
              <w:jc w:val="center"/>
              <w:rPr>
                <w:rFonts w:ascii="Arial" w:hAnsi="Arial" w:cs="Arial"/>
                <w:b/>
                <w:sz w:val="23"/>
                <w:szCs w:val="23"/>
              </w:rPr>
            </w:pPr>
            <w:r w:rsidRPr="00B53D21">
              <w:rPr>
                <w:rFonts w:ascii="Arial" w:hAnsi="Arial" w:cs="Arial"/>
                <w:b/>
                <w:sz w:val="23"/>
                <w:szCs w:val="23"/>
              </w:rPr>
              <w:t>55</w:t>
            </w:r>
          </w:p>
          <w:p w:rsidR="00D35187" w:rsidRPr="002F0C5B" w:rsidRDefault="00D35187" w:rsidP="003136A7">
            <w:pPr>
              <w:jc w:val="center"/>
              <w:rPr>
                <w:b/>
              </w:rPr>
            </w:pPr>
            <w:r w:rsidRPr="00B53D21">
              <w:rPr>
                <w:rFonts w:ascii="Arial" w:hAnsi="Arial" w:cs="Arial"/>
                <w:b/>
                <w:sz w:val="23"/>
                <w:szCs w:val="23"/>
              </w:rPr>
              <w:t>56</w:t>
            </w:r>
          </w:p>
        </w:tc>
      </w:tr>
    </w:tbl>
    <w:p w:rsidR="00D35187" w:rsidRDefault="00D35187" w:rsidP="00D35187">
      <w:pPr>
        <w:pStyle w:val="Heading3"/>
        <w:jc w:val="left"/>
        <w:rPr>
          <w:sz w:val="24"/>
          <w:szCs w:val="22"/>
        </w:rPr>
      </w:pPr>
      <w:r>
        <w:rPr>
          <w:sz w:val="24"/>
          <w:szCs w:val="22"/>
        </w:rPr>
        <w:t xml:space="preserve">List of Figures                                                                                                        </w:t>
      </w:r>
    </w:p>
    <w:p w:rsidR="00D35187" w:rsidRDefault="00D35187" w:rsidP="00D35187">
      <w:pPr>
        <w:rPr>
          <w:rFonts w:ascii="Arial" w:hAnsi="Arial" w:cs="Arial"/>
          <w:szCs w:val="22"/>
        </w:rPr>
      </w:pPr>
    </w:p>
    <w:p w:rsidR="00D35187" w:rsidRDefault="00D35187" w:rsidP="00D35187">
      <w:pPr>
        <w:pStyle w:val="Heading7"/>
        <w:rPr>
          <w:sz w:val="22"/>
          <w:szCs w:val="22"/>
        </w:rPr>
      </w:pPr>
      <w:r>
        <w:rPr>
          <w:sz w:val="24"/>
          <w:szCs w:val="22"/>
        </w:rPr>
        <w:t xml:space="preserve">List of Tables                                                                                                        </w:t>
      </w:r>
    </w:p>
    <w:p w:rsidR="00D35187" w:rsidRDefault="00D35187" w:rsidP="00D35187">
      <w:pPr>
        <w:jc w:val="both"/>
        <w:rPr>
          <w:rFonts w:ascii="Arial" w:hAnsi="Arial" w:cs="Arial"/>
          <w:sz w:val="28"/>
        </w:rPr>
      </w:pPr>
    </w:p>
    <w:p w:rsidR="00D35187" w:rsidRDefault="00D35187" w:rsidP="00D35187">
      <w:pPr>
        <w:pStyle w:val="Heading6"/>
        <w:rPr>
          <w:sz w:val="26"/>
          <w:szCs w:val="26"/>
        </w:rPr>
      </w:pPr>
    </w:p>
    <w:p w:rsidR="00D35187" w:rsidRDefault="00D35187" w:rsidP="00D35187">
      <w:pPr>
        <w:pStyle w:val="Heading6"/>
        <w:jc w:val="left"/>
        <w:rPr>
          <w:b/>
          <w:bCs/>
          <w:sz w:val="26"/>
          <w:szCs w:val="26"/>
          <w:u w:val="none"/>
        </w:rPr>
      </w:pPr>
      <w:r>
        <w:rPr>
          <w:b/>
          <w:bCs/>
          <w:sz w:val="26"/>
          <w:szCs w:val="26"/>
        </w:rPr>
        <w:t>Chapter 1.0: Introduction</w:t>
      </w:r>
      <w:r>
        <w:rPr>
          <w:sz w:val="26"/>
          <w:szCs w:val="26"/>
          <w:u w:val="none"/>
        </w:rPr>
        <w:t xml:space="preserve">                                                                   </w:t>
      </w:r>
      <w:r>
        <w:rPr>
          <w:sz w:val="24"/>
          <w:szCs w:val="26"/>
          <w:u w:val="none"/>
        </w:rPr>
        <w:t xml:space="preserve">  </w:t>
      </w:r>
      <w:r>
        <w:rPr>
          <w:sz w:val="26"/>
          <w:szCs w:val="26"/>
          <w:u w:val="none"/>
        </w:rPr>
        <w:t xml:space="preserve">     </w:t>
      </w:r>
    </w:p>
    <w:p w:rsidR="00D35187" w:rsidRPr="00660A0B" w:rsidRDefault="00D35187" w:rsidP="00D35187">
      <w:pPr>
        <w:rPr>
          <w:rFonts w:ascii="Arial" w:hAnsi="Arial" w:cs="Arial"/>
          <w:b/>
          <w:bCs/>
          <w:sz w:val="23"/>
          <w:szCs w:val="23"/>
        </w:rPr>
      </w:pPr>
      <w:r>
        <w:rPr>
          <w:rFonts w:ascii="Arial" w:hAnsi="Arial" w:cs="Arial"/>
          <w:sz w:val="23"/>
          <w:szCs w:val="23"/>
        </w:rPr>
        <w:t xml:space="preserve">                 1.1: Rationale                                                                                             </w:t>
      </w:r>
    </w:p>
    <w:p w:rsidR="00D35187" w:rsidRDefault="00D35187" w:rsidP="00D35187">
      <w:pPr>
        <w:rPr>
          <w:rFonts w:ascii="Arial" w:hAnsi="Arial" w:cs="Arial"/>
          <w:sz w:val="23"/>
          <w:szCs w:val="23"/>
        </w:rPr>
      </w:pPr>
      <w:r>
        <w:rPr>
          <w:rFonts w:ascii="Arial" w:hAnsi="Arial" w:cs="Arial"/>
          <w:sz w:val="23"/>
          <w:szCs w:val="23"/>
        </w:rPr>
        <w:t xml:space="preserve">                 1.2: Aims and objectives                                                                             </w:t>
      </w:r>
    </w:p>
    <w:p w:rsidR="00D35187" w:rsidRDefault="00D35187" w:rsidP="00D35187">
      <w:pPr>
        <w:rPr>
          <w:rFonts w:ascii="Arial" w:hAnsi="Arial" w:cs="Arial"/>
          <w:sz w:val="23"/>
          <w:szCs w:val="23"/>
        </w:rPr>
      </w:pPr>
      <w:r>
        <w:rPr>
          <w:rFonts w:ascii="Arial" w:hAnsi="Arial" w:cs="Arial"/>
          <w:sz w:val="23"/>
          <w:szCs w:val="23"/>
        </w:rPr>
        <w:t xml:space="preserve">                 1.3: Hypotheses                                                                                          </w:t>
      </w:r>
    </w:p>
    <w:p w:rsidR="00D35187" w:rsidRDefault="00D35187" w:rsidP="00D35187">
      <w:pPr>
        <w:jc w:val="both"/>
        <w:rPr>
          <w:rFonts w:ascii="Arial" w:hAnsi="Arial" w:cs="Arial"/>
          <w:sz w:val="28"/>
        </w:rPr>
      </w:pPr>
    </w:p>
    <w:p w:rsidR="00D35187" w:rsidRDefault="00D35187" w:rsidP="00D35187">
      <w:pPr>
        <w:pStyle w:val="Heading6"/>
        <w:jc w:val="left"/>
        <w:rPr>
          <w:sz w:val="26"/>
          <w:szCs w:val="26"/>
          <w:u w:val="none"/>
        </w:rPr>
      </w:pPr>
      <w:r>
        <w:rPr>
          <w:b/>
          <w:bCs/>
          <w:sz w:val="26"/>
          <w:szCs w:val="26"/>
        </w:rPr>
        <w:t>Chapter 2.0: Literature Review</w:t>
      </w:r>
      <w:r>
        <w:rPr>
          <w:b/>
          <w:bCs/>
          <w:sz w:val="26"/>
          <w:szCs w:val="26"/>
          <w:u w:val="none"/>
        </w:rPr>
        <w:t xml:space="preserve">                                                                 </w:t>
      </w:r>
    </w:p>
    <w:p w:rsidR="00D35187" w:rsidRDefault="00D35187" w:rsidP="00D35187">
      <w:pPr>
        <w:pStyle w:val="Footer"/>
        <w:tabs>
          <w:tab w:val="clear" w:pos="4320"/>
          <w:tab w:val="clear" w:pos="8640"/>
        </w:tabs>
        <w:rPr>
          <w:rFonts w:ascii="Arial" w:hAnsi="Arial" w:cs="Arial"/>
          <w:sz w:val="23"/>
          <w:szCs w:val="23"/>
        </w:rPr>
      </w:pPr>
      <w:r>
        <w:rPr>
          <w:rFonts w:ascii="Arial" w:hAnsi="Arial" w:cs="Arial"/>
          <w:sz w:val="23"/>
          <w:szCs w:val="23"/>
        </w:rPr>
        <w:t xml:space="preserve">                 2.1: Background of dendrochronology                                                        </w:t>
      </w:r>
    </w:p>
    <w:p w:rsidR="00D35187" w:rsidRDefault="00D35187" w:rsidP="00D35187">
      <w:pPr>
        <w:pStyle w:val="Footer"/>
        <w:tabs>
          <w:tab w:val="clear" w:pos="4320"/>
          <w:tab w:val="clear" w:pos="8640"/>
        </w:tabs>
        <w:rPr>
          <w:rFonts w:ascii="Arial" w:hAnsi="Arial" w:cs="Arial"/>
          <w:sz w:val="23"/>
          <w:szCs w:val="23"/>
        </w:rPr>
      </w:pPr>
      <w:r>
        <w:rPr>
          <w:rFonts w:ascii="Arial" w:hAnsi="Arial" w:cs="Arial"/>
          <w:sz w:val="23"/>
          <w:szCs w:val="23"/>
        </w:rPr>
        <w:t xml:space="preserve">                 2.2: Uncertainties in dendrochronology                                                      </w:t>
      </w:r>
    </w:p>
    <w:p w:rsidR="00D35187" w:rsidRDefault="00D35187" w:rsidP="00D35187">
      <w:pPr>
        <w:pStyle w:val="Footer"/>
        <w:tabs>
          <w:tab w:val="clear" w:pos="4320"/>
          <w:tab w:val="clear" w:pos="8640"/>
        </w:tabs>
        <w:rPr>
          <w:rFonts w:ascii="Arial" w:hAnsi="Arial" w:cs="Arial"/>
          <w:sz w:val="23"/>
          <w:szCs w:val="23"/>
        </w:rPr>
      </w:pPr>
      <w:r>
        <w:rPr>
          <w:rFonts w:ascii="Arial" w:hAnsi="Arial" w:cs="Arial"/>
          <w:sz w:val="23"/>
          <w:szCs w:val="23"/>
        </w:rPr>
        <w:t xml:space="preserve">                 2.3: The influence of previous climatic conditions                                      </w:t>
      </w:r>
      <w:r>
        <w:rPr>
          <w:rFonts w:ascii="Arial" w:hAnsi="Arial" w:cs="Arial"/>
          <w:sz w:val="23"/>
          <w:szCs w:val="23"/>
        </w:rPr>
        <w:br/>
        <w:t xml:space="preserve">                        on radial growth</w:t>
      </w:r>
    </w:p>
    <w:p w:rsidR="00D35187" w:rsidRDefault="00D35187" w:rsidP="00D35187">
      <w:pPr>
        <w:pStyle w:val="Footer"/>
        <w:tabs>
          <w:tab w:val="clear" w:pos="4320"/>
          <w:tab w:val="clear" w:pos="8640"/>
        </w:tabs>
        <w:rPr>
          <w:rFonts w:ascii="Arial" w:hAnsi="Arial" w:cs="Arial"/>
          <w:sz w:val="23"/>
          <w:szCs w:val="23"/>
        </w:rPr>
      </w:pPr>
      <w:r>
        <w:rPr>
          <w:rFonts w:ascii="Arial" w:hAnsi="Arial" w:cs="Arial"/>
          <w:sz w:val="23"/>
          <w:szCs w:val="23"/>
        </w:rPr>
        <w:t xml:space="preserve">                 2.4: The influence of temperature on radial growth                                    </w:t>
      </w:r>
    </w:p>
    <w:p w:rsidR="00D35187" w:rsidRDefault="00D35187" w:rsidP="00D35187">
      <w:pPr>
        <w:pStyle w:val="Footer"/>
        <w:tabs>
          <w:tab w:val="clear" w:pos="4320"/>
          <w:tab w:val="clear" w:pos="8640"/>
        </w:tabs>
        <w:rPr>
          <w:rFonts w:ascii="Arial" w:hAnsi="Arial" w:cs="Arial"/>
          <w:sz w:val="23"/>
          <w:szCs w:val="23"/>
        </w:rPr>
      </w:pPr>
      <w:r>
        <w:rPr>
          <w:rFonts w:ascii="Arial" w:hAnsi="Arial" w:cs="Arial"/>
          <w:sz w:val="23"/>
          <w:szCs w:val="23"/>
        </w:rPr>
        <w:t xml:space="preserve">                 2.5: The influence of drought on radial growth                                         </w:t>
      </w:r>
    </w:p>
    <w:p w:rsidR="00D35187" w:rsidRDefault="00D35187" w:rsidP="00D35187">
      <w:pPr>
        <w:pStyle w:val="Footer"/>
        <w:tabs>
          <w:tab w:val="clear" w:pos="4320"/>
          <w:tab w:val="clear" w:pos="8640"/>
          <w:tab w:val="left" w:pos="8280"/>
        </w:tabs>
        <w:rPr>
          <w:rFonts w:ascii="Arial" w:hAnsi="Arial" w:cs="Arial"/>
          <w:sz w:val="23"/>
          <w:szCs w:val="23"/>
        </w:rPr>
      </w:pPr>
      <w:r>
        <w:rPr>
          <w:rFonts w:ascii="Arial" w:hAnsi="Arial" w:cs="Arial"/>
          <w:sz w:val="23"/>
          <w:szCs w:val="23"/>
        </w:rPr>
        <w:t xml:space="preserve">                 2.6: The influence of precipitation on radial growth                                  </w:t>
      </w:r>
    </w:p>
    <w:p w:rsidR="00D35187" w:rsidRDefault="00D35187" w:rsidP="00D35187">
      <w:pPr>
        <w:pStyle w:val="Footer"/>
        <w:tabs>
          <w:tab w:val="clear" w:pos="4320"/>
          <w:tab w:val="clear" w:pos="8640"/>
        </w:tabs>
        <w:rPr>
          <w:rFonts w:ascii="Arial" w:hAnsi="Arial" w:cs="Arial"/>
          <w:sz w:val="23"/>
          <w:szCs w:val="23"/>
        </w:rPr>
      </w:pPr>
      <w:r>
        <w:rPr>
          <w:rFonts w:ascii="Arial" w:hAnsi="Arial" w:cs="Arial"/>
          <w:sz w:val="23"/>
          <w:szCs w:val="23"/>
        </w:rPr>
        <w:t xml:space="preserve">                 2.7: The influence of species location on radial growth                            </w:t>
      </w:r>
    </w:p>
    <w:p w:rsidR="00D35187" w:rsidRDefault="00D35187" w:rsidP="00D35187">
      <w:pPr>
        <w:pStyle w:val="Footer"/>
        <w:tabs>
          <w:tab w:val="clear" w:pos="4320"/>
          <w:tab w:val="clear" w:pos="8640"/>
        </w:tabs>
        <w:rPr>
          <w:rFonts w:ascii="Arial" w:hAnsi="Arial" w:cs="Arial"/>
          <w:sz w:val="23"/>
          <w:szCs w:val="23"/>
        </w:rPr>
      </w:pPr>
      <w:r>
        <w:rPr>
          <w:rFonts w:ascii="Arial" w:hAnsi="Arial" w:cs="Arial"/>
          <w:sz w:val="23"/>
          <w:szCs w:val="23"/>
        </w:rPr>
        <w:t xml:space="preserve">                 2.8: Response of different species to the climatic conditions                   </w:t>
      </w:r>
    </w:p>
    <w:p w:rsidR="00D35187" w:rsidRDefault="00D35187" w:rsidP="00D35187">
      <w:pPr>
        <w:pStyle w:val="Footer"/>
        <w:tabs>
          <w:tab w:val="clear" w:pos="4320"/>
          <w:tab w:val="clear" w:pos="8640"/>
        </w:tabs>
        <w:rPr>
          <w:rFonts w:ascii="Arial" w:hAnsi="Arial" w:cs="Arial"/>
          <w:sz w:val="23"/>
          <w:szCs w:val="23"/>
        </w:rPr>
      </w:pPr>
      <w:r>
        <w:rPr>
          <w:rFonts w:ascii="Arial" w:hAnsi="Arial" w:cs="Arial"/>
          <w:sz w:val="23"/>
          <w:szCs w:val="23"/>
        </w:rPr>
        <w:t xml:space="preserve">                 2.9: Response of Oak trees to climatic conditions                           </w:t>
      </w:r>
      <w:r>
        <w:rPr>
          <w:rFonts w:ascii="Arial" w:hAnsi="Arial" w:cs="Arial"/>
          <w:b/>
          <w:bCs/>
          <w:sz w:val="23"/>
          <w:szCs w:val="23"/>
        </w:rPr>
        <w:t xml:space="preserve">   </w:t>
      </w:r>
      <w:r>
        <w:rPr>
          <w:rFonts w:ascii="Arial" w:hAnsi="Arial" w:cs="Arial"/>
          <w:sz w:val="23"/>
          <w:szCs w:val="23"/>
        </w:rPr>
        <w:t xml:space="preserve">      </w:t>
      </w:r>
    </w:p>
    <w:p w:rsidR="00D35187" w:rsidRDefault="00D35187" w:rsidP="00D35187">
      <w:pPr>
        <w:pStyle w:val="Footer"/>
        <w:tabs>
          <w:tab w:val="clear" w:pos="4320"/>
          <w:tab w:val="clear" w:pos="8640"/>
        </w:tabs>
        <w:rPr>
          <w:rFonts w:ascii="Arial" w:hAnsi="Arial" w:cs="Arial"/>
          <w:sz w:val="23"/>
          <w:szCs w:val="23"/>
        </w:rPr>
      </w:pPr>
      <w:r>
        <w:rPr>
          <w:rFonts w:ascii="Arial" w:hAnsi="Arial" w:cs="Arial"/>
          <w:sz w:val="23"/>
          <w:szCs w:val="23"/>
        </w:rPr>
        <w:t xml:space="preserve">                 2.10: Response of Beech trees to the climatic conditions                        </w:t>
      </w:r>
    </w:p>
    <w:p w:rsidR="00D35187" w:rsidRDefault="00D35187" w:rsidP="00D35187">
      <w:pPr>
        <w:pStyle w:val="Footer"/>
        <w:tabs>
          <w:tab w:val="clear" w:pos="4320"/>
          <w:tab w:val="clear" w:pos="8640"/>
        </w:tabs>
        <w:rPr>
          <w:rFonts w:ascii="Arial" w:hAnsi="Arial" w:cs="Arial"/>
          <w:sz w:val="23"/>
          <w:szCs w:val="23"/>
        </w:rPr>
      </w:pPr>
      <w:r>
        <w:rPr>
          <w:rFonts w:ascii="Arial" w:hAnsi="Arial" w:cs="Arial"/>
          <w:sz w:val="23"/>
          <w:szCs w:val="23"/>
        </w:rPr>
        <w:t xml:space="preserve">                 2.11: Response of Sycamore trees to climatic conditions                        </w:t>
      </w:r>
    </w:p>
    <w:p w:rsidR="00D35187" w:rsidRDefault="00D35187" w:rsidP="00D35187">
      <w:pPr>
        <w:pStyle w:val="Footer"/>
        <w:tabs>
          <w:tab w:val="clear" w:pos="4320"/>
          <w:tab w:val="clear" w:pos="8640"/>
        </w:tabs>
        <w:rPr>
          <w:rFonts w:ascii="Arial" w:hAnsi="Arial" w:cs="Arial"/>
          <w:sz w:val="23"/>
          <w:szCs w:val="23"/>
        </w:rPr>
      </w:pPr>
      <w:r>
        <w:rPr>
          <w:rFonts w:ascii="Arial" w:hAnsi="Arial" w:cs="Arial"/>
          <w:sz w:val="23"/>
          <w:szCs w:val="23"/>
        </w:rPr>
        <w:t xml:space="preserve">                 2.12: Other factors affecting radial growth                                            </w:t>
      </w:r>
      <w:r>
        <w:rPr>
          <w:rFonts w:ascii="Arial" w:hAnsi="Arial" w:cs="Arial"/>
          <w:sz w:val="16"/>
          <w:szCs w:val="23"/>
        </w:rPr>
        <w:t xml:space="preserve">   </w:t>
      </w:r>
      <w:r>
        <w:rPr>
          <w:rFonts w:ascii="Arial" w:hAnsi="Arial" w:cs="Arial"/>
          <w:sz w:val="23"/>
          <w:szCs w:val="23"/>
        </w:rPr>
        <w:t xml:space="preserve"> </w:t>
      </w:r>
    </w:p>
    <w:p w:rsidR="00D35187" w:rsidRDefault="00D35187" w:rsidP="00D35187">
      <w:pPr>
        <w:pStyle w:val="Footer"/>
        <w:tabs>
          <w:tab w:val="clear" w:pos="4320"/>
          <w:tab w:val="clear" w:pos="8640"/>
        </w:tabs>
        <w:rPr>
          <w:rFonts w:ascii="Arial" w:hAnsi="Arial" w:cs="Arial"/>
          <w:sz w:val="23"/>
          <w:szCs w:val="23"/>
        </w:rPr>
      </w:pPr>
      <w:r>
        <w:rPr>
          <w:rFonts w:ascii="Arial" w:hAnsi="Arial" w:cs="Arial"/>
          <w:sz w:val="23"/>
          <w:szCs w:val="23"/>
        </w:rPr>
        <w:t xml:space="preserve">                 2.13: Conclusion of literature review                                                        </w:t>
      </w:r>
    </w:p>
    <w:p w:rsidR="00D35187" w:rsidRDefault="00D35187" w:rsidP="00D35187">
      <w:pPr>
        <w:jc w:val="both"/>
        <w:rPr>
          <w:rFonts w:ascii="Arial" w:hAnsi="Arial" w:cs="Arial"/>
          <w:sz w:val="28"/>
        </w:rPr>
      </w:pPr>
    </w:p>
    <w:p w:rsidR="00D35187" w:rsidRDefault="00D35187" w:rsidP="00D35187">
      <w:pPr>
        <w:pStyle w:val="Heading6"/>
        <w:jc w:val="left"/>
        <w:rPr>
          <w:sz w:val="26"/>
          <w:szCs w:val="26"/>
          <w:u w:val="none"/>
        </w:rPr>
      </w:pPr>
      <w:r>
        <w:rPr>
          <w:b/>
          <w:bCs/>
          <w:sz w:val="26"/>
          <w:szCs w:val="26"/>
        </w:rPr>
        <w:t>Chapter 3.0: Methodology</w:t>
      </w:r>
      <w:r>
        <w:rPr>
          <w:b/>
          <w:bCs/>
          <w:sz w:val="26"/>
          <w:szCs w:val="26"/>
          <w:u w:val="none"/>
        </w:rPr>
        <w:t xml:space="preserve">                                                                       </w:t>
      </w:r>
    </w:p>
    <w:p w:rsidR="00D35187" w:rsidRDefault="00D35187" w:rsidP="00D35187">
      <w:pPr>
        <w:rPr>
          <w:rFonts w:ascii="Arial" w:hAnsi="Arial" w:cs="Arial"/>
          <w:sz w:val="23"/>
          <w:szCs w:val="23"/>
        </w:rPr>
      </w:pPr>
      <w:r>
        <w:rPr>
          <w:rFonts w:ascii="Arial" w:hAnsi="Arial" w:cs="Arial"/>
          <w:sz w:val="23"/>
          <w:szCs w:val="23"/>
        </w:rPr>
        <w:t xml:space="preserve">                 3.1: Research site                                              </w:t>
      </w:r>
      <w:r>
        <w:rPr>
          <w:rFonts w:ascii="Arial" w:hAnsi="Arial" w:cs="Arial"/>
          <w:sz w:val="20"/>
          <w:szCs w:val="23"/>
        </w:rPr>
        <w:t xml:space="preserve">                 </w:t>
      </w:r>
      <w:r>
        <w:rPr>
          <w:rFonts w:ascii="Arial" w:hAnsi="Arial" w:cs="Arial"/>
          <w:sz w:val="23"/>
          <w:szCs w:val="23"/>
        </w:rPr>
        <w:t xml:space="preserve">                        </w:t>
      </w:r>
    </w:p>
    <w:p w:rsidR="00D35187" w:rsidRDefault="00D35187" w:rsidP="00D35187">
      <w:pPr>
        <w:rPr>
          <w:rFonts w:ascii="Arial" w:hAnsi="Arial" w:cs="Arial"/>
          <w:sz w:val="23"/>
          <w:szCs w:val="23"/>
        </w:rPr>
      </w:pPr>
      <w:r>
        <w:rPr>
          <w:rFonts w:ascii="Arial" w:hAnsi="Arial" w:cs="Arial"/>
          <w:sz w:val="23"/>
          <w:szCs w:val="23"/>
        </w:rPr>
        <w:t xml:space="preserve">                 3.2: Increment corer/borer                                                          </w:t>
      </w:r>
      <w:r>
        <w:rPr>
          <w:rFonts w:ascii="Arial" w:hAnsi="Arial" w:cs="Arial"/>
          <w:sz w:val="20"/>
          <w:szCs w:val="23"/>
        </w:rPr>
        <w:t xml:space="preserve">                </w:t>
      </w:r>
    </w:p>
    <w:p w:rsidR="00D35187" w:rsidRDefault="00D35187" w:rsidP="00D35187">
      <w:pPr>
        <w:rPr>
          <w:rFonts w:ascii="Arial" w:hAnsi="Arial" w:cs="Arial"/>
          <w:sz w:val="23"/>
          <w:szCs w:val="23"/>
        </w:rPr>
      </w:pPr>
      <w:r>
        <w:rPr>
          <w:rFonts w:ascii="Arial" w:hAnsi="Arial" w:cs="Arial"/>
          <w:sz w:val="23"/>
          <w:szCs w:val="23"/>
        </w:rPr>
        <w:t xml:space="preserve">                 3.3: Factors affecting the sampling method                                              </w:t>
      </w:r>
    </w:p>
    <w:p w:rsidR="00D35187" w:rsidRDefault="00D35187" w:rsidP="00D35187">
      <w:pPr>
        <w:rPr>
          <w:rFonts w:ascii="Arial" w:hAnsi="Arial" w:cs="Arial"/>
          <w:sz w:val="23"/>
          <w:szCs w:val="23"/>
        </w:rPr>
      </w:pPr>
      <w:r>
        <w:rPr>
          <w:rFonts w:ascii="Arial" w:hAnsi="Arial" w:cs="Arial"/>
          <w:sz w:val="23"/>
          <w:szCs w:val="23"/>
        </w:rPr>
        <w:t xml:space="preserve">                 3.4: Field Methodology                                                                             </w:t>
      </w:r>
    </w:p>
    <w:p w:rsidR="00D35187" w:rsidRPr="00D56154" w:rsidRDefault="00D35187" w:rsidP="00D35187">
      <w:pPr>
        <w:rPr>
          <w:rFonts w:ascii="Arial" w:hAnsi="Arial" w:cs="Arial"/>
          <w:b/>
          <w:bCs/>
          <w:sz w:val="23"/>
          <w:szCs w:val="23"/>
        </w:rPr>
      </w:pPr>
      <w:r>
        <w:rPr>
          <w:rFonts w:ascii="Arial" w:hAnsi="Arial" w:cs="Arial"/>
          <w:sz w:val="23"/>
          <w:szCs w:val="23"/>
        </w:rPr>
        <w:t xml:space="preserve">                 3.5: Laboratory Methodology                                                    </w:t>
      </w:r>
      <w:r>
        <w:rPr>
          <w:rFonts w:ascii="Arial" w:hAnsi="Arial" w:cs="Arial"/>
          <w:sz w:val="20"/>
          <w:szCs w:val="23"/>
        </w:rPr>
        <w:t xml:space="preserve">       </w:t>
      </w:r>
      <w:r>
        <w:rPr>
          <w:rFonts w:ascii="Arial" w:hAnsi="Arial" w:cs="Arial"/>
          <w:sz w:val="23"/>
          <w:szCs w:val="23"/>
        </w:rPr>
        <w:t xml:space="preserve">          </w:t>
      </w:r>
    </w:p>
    <w:p w:rsidR="00D35187" w:rsidRDefault="00D35187" w:rsidP="00D35187">
      <w:pPr>
        <w:rPr>
          <w:rFonts w:ascii="Arial" w:hAnsi="Arial" w:cs="Arial"/>
          <w:sz w:val="23"/>
          <w:szCs w:val="23"/>
        </w:rPr>
      </w:pPr>
      <w:r>
        <w:rPr>
          <w:rFonts w:ascii="Arial" w:hAnsi="Arial" w:cs="Arial"/>
          <w:sz w:val="23"/>
          <w:szCs w:val="23"/>
        </w:rPr>
        <w:t xml:space="preserve">                 3.6: Analysis Methodology                                                                        </w:t>
      </w:r>
    </w:p>
    <w:p w:rsidR="00D35187" w:rsidRDefault="00D35187" w:rsidP="00D35187">
      <w:pPr>
        <w:jc w:val="both"/>
        <w:rPr>
          <w:rFonts w:ascii="Arial" w:hAnsi="Arial" w:cs="Arial"/>
          <w:sz w:val="28"/>
        </w:rPr>
      </w:pPr>
    </w:p>
    <w:p w:rsidR="00D35187" w:rsidRDefault="00D35187" w:rsidP="00D35187">
      <w:pPr>
        <w:pStyle w:val="Heading6"/>
        <w:jc w:val="left"/>
        <w:rPr>
          <w:sz w:val="26"/>
          <w:szCs w:val="26"/>
          <w:u w:val="none"/>
        </w:rPr>
      </w:pPr>
      <w:r>
        <w:rPr>
          <w:b/>
          <w:bCs/>
          <w:sz w:val="26"/>
          <w:szCs w:val="26"/>
        </w:rPr>
        <w:t>Chapter 4.0: Results</w:t>
      </w:r>
      <w:r>
        <w:rPr>
          <w:b/>
          <w:bCs/>
          <w:sz w:val="26"/>
          <w:szCs w:val="26"/>
          <w:u w:val="none"/>
        </w:rPr>
        <w:t xml:space="preserve">                                                                                </w:t>
      </w:r>
    </w:p>
    <w:p w:rsidR="00D35187" w:rsidRDefault="00D35187" w:rsidP="00D35187">
      <w:pPr>
        <w:rPr>
          <w:rFonts w:ascii="Arial" w:hAnsi="Arial" w:cs="Arial"/>
          <w:sz w:val="23"/>
          <w:szCs w:val="23"/>
        </w:rPr>
      </w:pPr>
      <w:r>
        <w:rPr>
          <w:rFonts w:ascii="Arial" w:hAnsi="Arial" w:cs="Arial"/>
          <w:sz w:val="23"/>
          <w:szCs w:val="23"/>
        </w:rPr>
        <w:t xml:space="preserve">                 4.1: Field and laboratory data                                                                   </w:t>
      </w:r>
    </w:p>
    <w:p w:rsidR="00D35187" w:rsidRDefault="00D35187" w:rsidP="00D35187">
      <w:pPr>
        <w:rPr>
          <w:rFonts w:ascii="Arial" w:hAnsi="Arial" w:cs="Arial"/>
          <w:sz w:val="23"/>
          <w:szCs w:val="23"/>
        </w:rPr>
      </w:pPr>
      <w:r>
        <w:rPr>
          <w:rFonts w:ascii="Arial" w:hAnsi="Arial" w:cs="Arial"/>
          <w:sz w:val="23"/>
          <w:szCs w:val="23"/>
        </w:rPr>
        <w:t xml:space="preserve">                 4.2: The influence of precipitation on radial growth                                  </w:t>
      </w:r>
    </w:p>
    <w:p w:rsidR="00D35187" w:rsidRDefault="00D35187" w:rsidP="00D35187">
      <w:pPr>
        <w:rPr>
          <w:rFonts w:ascii="Arial" w:hAnsi="Arial" w:cs="Arial"/>
          <w:sz w:val="23"/>
          <w:szCs w:val="23"/>
        </w:rPr>
      </w:pPr>
      <w:r>
        <w:rPr>
          <w:rFonts w:ascii="Arial" w:hAnsi="Arial" w:cs="Arial"/>
          <w:sz w:val="23"/>
          <w:szCs w:val="23"/>
        </w:rPr>
        <w:t xml:space="preserve">                 4.3: The influence of temperature on radial growth                                  </w:t>
      </w:r>
    </w:p>
    <w:p w:rsidR="00D35187" w:rsidRDefault="00D35187" w:rsidP="00D35187">
      <w:pPr>
        <w:rPr>
          <w:rFonts w:ascii="Arial" w:hAnsi="Arial" w:cs="Arial"/>
          <w:sz w:val="23"/>
          <w:szCs w:val="23"/>
        </w:rPr>
      </w:pPr>
      <w:r>
        <w:rPr>
          <w:rFonts w:ascii="Arial" w:hAnsi="Arial" w:cs="Arial"/>
          <w:sz w:val="23"/>
          <w:szCs w:val="23"/>
        </w:rPr>
        <w:t xml:space="preserve">                 4.4: Other studies                                                                                     </w:t>
      </w:r>
      <w:r>
        <w:rPr>
          <w:rFonts w:ascii="Arial" w:hAnsi="Arial" w:cs="Arial"/>
          <w:sz w:val="23"/>
          <w:szCs w:val="23"/>
        </w:rPr>
        <w:br/>
        <w:t xml:space="preserve">                                4.4A: Sheffield                                                                           </w:t>
      </w:r>
      <w:r>
        <w:rPr>
          <w:rFonts w:ascii="Arial" w:hAnsi="Arial" w:cs="Arial"/>
          <w:sz w:val="23"/>
          <w:szCs w:val="23"/>
        </w:rPr>
        <w:br/>
        <w:t xml:space="preserve">                                4.4B: Savernake                                                                        </w:t>
      </w:r>
      <w:r>
        <w:rPr>
          <w:rFonts w:ascii="Arial" w:hAnsi="Arial" w:cs="Arial"/>
          <w:sz w:val="23"/>
          <w:szCs w:val="23"/>
        </w:rPr>
        <w:br/>
        <w:t xml:space="preserve">                                4.4C: </w:t>
      </w:r>
      <w:smartTag w:uri="urn:schemas-microsoft-com:office:smarttags" w:element="place">
        <w:r>
          <w:rPr>
            <w:rFonts w:ascii="Arial" w:hAnsi="Arial" w:cs="Arial"/>
            <w:sz w:val="23"/>
            <w:szCs w:val="23"/>
          </w:rPr>
          <w:t>East Pomerania</w:t>
        </w:r>
      </w:smartTag>
      <w:r>
        <w:rPr>
          <w:rFonts w:ascii="Arial" w:hAnsi="Arial" w:cs="Arial"/>
          <w:sz w:val="23"/>
          <w:szCs w:val="23"/>
        </w:rPr>
        <w:t xml:space="preserve">                                                               </w:t>
      </w:r>
    </w:p>
    <w:p w:rsidR="001C0D62" w:rsidRDefault="001C0D62">
      <w:pPr>
        <w:jc w:val="both"/>
        <w:rPr>
          <w:rFonts w:ascii="Arial" w:hAnsi="Arial" w:cs="Arial"/>
          <w:sz w:val="28"/>
        </w:rPr>
      </w:pPr>
    </w:p>
    <w:tbl>
      <w:tblPr>
        <w:tblpPr w:leftFromText="180" w:rightFromText="180" w:vertAnchor="text" w:tblpX="8029" w:tblpY="-35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64"/>
      </w:tblGrid>
      <w:tr w:rsidR="00D35187">
        <w:tblPrEx>
          <w:tblCellMar>
            <w:top w:w="0" w:type="dxa"/>
            <w:bottom w:w="0" w:type="dxa"/>
          </w:tblCellMar>
        </w:tblPrEx>
        <w:trPr>
          <w:trHeight w:val="9180"/>
        </w:trPr>
        <w:tc>
          <w:tcPr>
            <w:tcW w:w="613" w:type="dxa"/>
            <w:tcBorders>
              <w:top w:val="nil"/>
              <w:left w:val="nil"/>
              <w:bottom w:val="nil"/>
              <w:right w:val="nil"/>
            </w:tcBorders>
          </w:tcPr>
          <w:p w:rsidR="00D35187" w:rsidRPr="007740BA" w:rsidRDefault="00D35187" w:rsidP="00B128A1">
            <w:pPr>
              <w:pStyle w:val="Heading6"/>
              <w:jc w:val="left"/>
              <w:rPr>
                <w:b/>
                <w:bCs/>
                <w:sz w:val="34"/>
                <w:szCs w:val="34"/>
              </w:rPr>
            </w:pPr>
          </w:p>
          <w:p w:rsidR="00D35187" w:rsidRPr="00B53D21" w:rsidRDefault="00D35187" w:rsidP="003136A7">
            <w:pPr>
              <w:jc w:val="center"/>
              <w:rPr>
                <w:rFonts w:ascii="Arial" w:hAnsi="Arial" w:cs="Arial"/>
                <w:b/>
                <w:sz w:val="26"/>
                <w:szCs w:val="26"/>
              </w:rPr>
            </w:pPr>
            <w:r w:rsidRPr="00B53D21">
              <w:rPr>
                <w:rFonts w:ascii="Arial" w:hAnsi="Arial" w:cs="Arial"/>
                <w:b/>
                <w:sz w:val="26"/>
                <w:szCs w:val="26"/>
              </w:rPr>
              <w:t>63</w:t>
            </w:r>
          </w:p>
          <w:p w:rsidR="00D35187" w:rsidRPr="00B53D21" w:rsidRDefault="00D35187" w:rsidP="003136A7">
            <w:pPr>
              <w:jc w:val="center"/>
              <w:rPr>
                <w:rFonts w:ascii="Arial" w:hAnsi="Arial" w:cs="Arial"/>
                <w:b/>
                <w:sz w:val="23"/>
                <w:szCs w:val="23"/>
              </w:rPr>
            </w:pPr>
            <w:r w:rsidRPr="00B53D21">
              <w:rPr>
                <w:rFonts w:ascii="Arial" w:hAnsi="Arial" w:cs="Arial"/>
                <w:b/>
                <w:sz w:val="23"/>
                <w:szCs w:val="23"/>
              </w:rPr>
              <w:t>63</w:t>
            </w:r>
          </w:p>
          <w:p w:rsidR="00D35187" w:rsidRPr="00B53D21" w:rsidRDefault="00D35187" w:rsidP="003136A7">
            <w:pPr>
              <w:jc w:val="center"/>
              <w:rPr>
                <w:rFonts w:ascii="Arial" w:hAnsi="Arial" w:cs="Arial"/>
                <w:b/>
                <w:sz w:val="23"/>
                <w:szCs w:val="23"/>
              </w:rPr>
            </w:pPr>
            <w:r w:rsidRPr="00B53D21">
              <w:rPr>
                <w:rFonts w:ascii="Arial" w:hAnsi="Arial" w:cs="Arial"/>
                <w:b/>
                <w:sz w:val="23"/>
                <w:szCs w:val="23"/>
              </w:rPr>
              <w:t>68</w:t>
            </w:r>
          </w:p>
          <w:p w:rsidR="00D35187" w:rsidRPr="00B53D21" w:rsidRDefault="00D35187" w:rsidP="003136A7">
            <w:pPr>
              <w:jc w:val="center"/>
              <w:rPr>
                <w:rFonts w:ascii="Arial" w:hAnsi="Arial" w:cs="Arial"/>
                <w:b/>
                <w:sz w:val="23"/>
                <w:szCs w:val="23"/>
              </w:rPr>
            </w:pPr>
            <w:r w:rsidRPr="00B53D21">
              <w:rPr>
                <w:rFonts w:ascii="Arial" w:hAnsi="Arial" w:cs="Arial"/>
                <w:b/>
                <w:sz w:val="23"/>
                <w:szCs w:val="23"/>
              </w:rPr>
              <w:t>70</w:t>
            </w:r>
          </w:p>
          <w:p w:rsidR="00D35187" w:rsidRPr="00B53D21" w:rsidRDefault="00D35187" w:rsidP="003136A7">
            <w:pPr>
              <w:jc w:val="center"/>
              <w:rPr>
                <w:rFonts w:ascii="Arial" w:hAnsi="Arial" w:cs="Arial"/>
                <w:b/>
                <w:sz w:val="23"/>
                <w:szCs w:val="23"/>
              </w:rPr>
            </w:pPr>
            <w:r w:rsidRPr="00B53D21">
              <w:rPr>
                <w:rFonts w:ascii="Arial" w:hAnsi="Arial" w:cs="Arial"/>
                <w:b/>
                <w:sz w:val="23"/>
                <w:szCs w:val="23"/>
              </w:rPr>
              <w:t>71</w:t>
            </w:r>
          </w:p>
          <w:p w:rsidR="00D35187" w:rsidRPr="00B53D21" w:rsidRDefault="00D35187" w:rsidP="003136A7">
            <w:pPr>
              <w:jc w:val="center"/>
              <w:rPr>
                <w:rFonts w:ascii="Arial" w:hAnsi="Arial" w:cs="Arial"/>
                <w:b/>
                <w:sz w:val="23"/>
                <w:szCs w:val="23"/>
              </w:rPr>
            </w:pPr>
            <w:r w:rsidRPr="00B53D21">
              <w:rPr>
                <w:rFonts w:ascii="Arial" w:hAnsi="Arial" w:cs="Arial"/>
                <w:b/>
                <w:sz w:val="23"/>
                <w:szCs w:val="23"/>
              </w:rPr>
              <w:t>72</w:t>
            </w:r>
          </w:p>
          <w:p w:rsidR="00D35187" w:rsidRPr="007740BA" w:rsidRDefault="00D35187" w:rsidP="003136A7">
            <w:pPr>
              <w:jc w:val="center"/>
              <w:rPr>
                <w:rFonts w:ascii="Arial" w:hAnsi="Arial" w:cs="Arial"/>
                <w:b/>
                <w:sz w:val="28"/>
                <w:szCs w:val="28"/>
              </w:rPr>
            </w:pPr>
          </w:p>
          <w:p w:rsidR="00D35187" w:rsidRPr="00B53D21" w:rsidRDefault="00D35187" w:rsidP="003136A7">
            <w:pPr>
              <w:jc w:val="center"/>
              <w:rPr>
                <w:rFonts w:ascii="Arial" w:hAnsi="Arial" w:cs="Arial"/>
                <w:b/>
                <w:sz w:val="23"/>
                <w:szCs w:val="23"/>
              </w:rPr>
            </w:pPr>
          </w:p>
          <w:p w:rsidR="00D35187" w:rsidRPr="00B53D21" w:rsidRDefault="00D35187" w:rsidP="003136A7">
            <w:pPr>
              <w:jc w:val="center"/>
              <w:rPr>
                <w:rFonts w:ascii="Arial" w:hAnsi="Arial" w:cs="Arial"/>
                <w:b/>
                <w:sz w:val="26"/>
                <w:szCs w:val="26"/>
              </w:rPr>
            </w:pPr>
            <w:r w:rsidRPr="00B53D21">
              <w:rPr>
                <w:rFonts w:ascii="Arial" w:hAnsi="Arial" w:cs="Arial"/>
                <w:b/>
                <w:sz w:val="26"/>
                <w:szCs w:val="26"/>
              </w:rPr>
              <w:t>73</w:t>
            </w:r>
          </w:p>
          <w:p w:rsidR="00D35187" w:rsidRPr="00B53D21" w:rsidRDefault="00D35187" w:rsidP="003136A7">
            <w:pPr>
              <w:jc w:val="center"/>
              <w:rPr>
                <w:rFonts w:ascii="Arial" w:hAnsi="Arial" w:cs="Arial"/>
                <w:b/>
                <w:sz w:val="23"/>
                <w:szCs w:val="23"/>
              </w:rPr>
            </w:pPr>
          </w:p>
          <w:p w:rsidR="00891D9F" w:rsidRPr="00891D9F" w:rsidRDefault="00891D9F" w:rsidP="00891D9F">
            <w:pPr>
              <w:jc w:val="center"/>
              <w:rPr>
                <w:rFonts w:ascii="Arial" w:hAnsi="Arial" w:cs="Arial"/>
                <w:b/>
              </w:rPr>
            </w:pPr>
          </w:p>
          <w:p w:rsidR="00D35187" w:rsidRPr="007740BA" w:rsidRDefault="00D35187" w:rsidP="003136A7">
            <w:pPr>
              <w:jc w:val="center"/>
              <w:rPr>
                <w:rFonts w:ascii="Arial" w:hAnsi="Arial" w:cs="Arial"/>
                <w:b/>
                <w:sz w:val="8"/>
                <w:szCs w:val="8"/>
              </w:rPr>
            </w:pPr>
          </w:p>
          <w:p w:rsidR="00D35187" w:rsidRPr="00B53D21" w:rsidRDefault="00D35187" w:rsidP="003136A7">
            <w:pPr>
              <w:jc w:val="center"/>
              <w:rPr>
                <w:rFonts w:ascii="Arial" w:hAnsi="Arial" w:cs="Arial"/>
                <w:b/>
                <w:sz w:val="26"/>
                <w:szCs w:val="26"/>
              </w:rPr>
            </w:pPr>
            <w:r w:rsidRPr="00B53D21">
              <w:rPr>
                <w:rFonts w:ascii="Arial" w:hAnsi="Arial" w:cs="Arial"/>
                <w:b/>
                <w:sz w:val="26"/>
                <w:szCs w:val="26"/>
              </w:rPr>
              <w:t>viii</w:t>
            </w:r>
          </w:p>
          <w:p w:rsidR="00D35187" w:rsidRPr="00B53D21" w:rsidRDefault="00D35187" w:rsidP="003136A7">
            <w:pPr>
              <w:jc w:val="center"/>
              <w:rPr>
                <w:rFonts w:ascii="Arial" w:hAnsi="Arial" w:cs="Arial"/>
                <w:b/>
                <w:sz w:val="23"/>
                <w:szCs w:val="23"/>
              </w:rPr>
            </w:pPr>
            <w:r w:rsidRPr="00B53D21">
              <w:rPr>
                <w:rFonts w:ascii="Arial" w:hAnsi="Arial" w:cs="Arial"/>
                <w:b/>
                <w:sz w:val="23"/>
                <w:szCs w:val="23"/>
              </w:rPr>
              <w:t>viii</w:t>
            </w:r>
          </w:p>
          <w:p w:rsidR="00D35187" w:rsidRPr="00B53D21" w:rsidRDefault="00D35187" w:rsidP="003136A7">
            <w:pPr>
              <w:jc w:val="center"/>
              <w:rPr>
                <w:rFonts w:ascii="Arial" w:hAnsi="Arial" w:cs="Arial"/>
                <w:b/>
                <w:sz w:val="23"/>
                <w:szCs w:val="23"/>
              </w:rPr>
            </w:pPr>
            <w:r w:rsidRPr="00B53D21">
              <w:rPr>
                <w:rFonts w:ascii="Arial" w:hAnsi="Arial" w:cs="Arial"/>
                <w:b/>
                <w:sz w:val="23"/>
                <w:szCs w:val="23"/>
              </w:rPr>
              <w:t>xii</w:t>
            </w:r>
          </w:p>
          <w:p w:rsidR="00D35187" w:rsidRPr="00B53D21" w:rsidRDefault="00D35187" w:rsidP="003136A7">
            <w:pPr>
              <w:jc w:val="center"/>
              <w:rPr>
                <w:rFonts w:ascii="Arial" w:hAnsi="Arial" w:cs="Arial"/>
                <w:b/>
                <w:sz w:val="23"/>
                <w:szCs w:val="23"/>
              </w:rPr>
            </w:pPr>
            <w:r w:rsidRPr="00B53D21">
              <w:rPr>
                <w:rFonts w:ascii="Arial" w:hAnsi="Arial" w:cs="Arial"/>
                <w:b/>
                <w:sz w:val="23"/>
                <w:szCs w:val="23"/>
              </w:rPr>
              <w:t>xiii</w:t>
            </w:r>
          </w:p>
          <w:p w:rsidR="00D35187" w:rsidRPr="00B53D21" w:rsidRDefault="00D35187" w:rsidP="003136A7">
            <w:pPr>
              <w:jc w:val="center"/>
              <w:rPr>
                <w:rFonts w:ascii="Arial" w:hAnsi="Arial" w:cs="Arial"/>
                <w:b/>
                <w:sz w:val="23"/>
                <w:szCs w:val="23"/>
              </w:rPr>
            </w:pPr>
            <w:r w:rsidRPr="00B53D21">
              <w:rPr>
                <w:rFonts w:ascii="Arial" w:hAnsi="Arial" w:cs="Arial"/>
                <w:b/>
                <w:sz w:val="23"/>
                <w:szCs w:val="23"/>
              </w:rPr>
              <w:t>xiv</w:t>
            </w:r>
          </w:p>
          <w:p w:rsidR="00D35187" w:rsidRPr="00B53D21" w:rsidRDefault="00D35187" w:rsidP="003136A7">
            <w:pPr>
              <w:jc w:val="center"/>
              <w:rPr>
                <w:rFonts w:ascii="Arial" w:hAnsi="Arial" w:cs="Arial"/>
                <w:b/>
                <w:sz w:val="23"/>
                <w:szCs w:val="23"/>
              </w:rPr>
            </w:pPr>
            <w:r w:rsidRPr="00B53D21">
              <w:rPr>
                <w:rFonts w:ascii="Arial" w:hAnsi="Arial" w:cs="Arial"/>
                <w:b/>
                <w:sz w:val="23"/>
                <w:szCs w:val="23"/>
              </w:rPr>
              <w:t>xv</w:t>
            </w:r>
          </w:p>
          <w:p w:rsidR="00D35187" w:rsidRPr="007740BA" w:rsidRDefault="00D35187" w:rsidP="003136A7">
            <w:pPr>
              <w:jc w:val="center"/>
              <w:rPr>
                <w:rFonts w:ascii="Arial" w:hAnsi="Arial" w:cs="Arial"/>
                <w:b/>
                <w:sz w:val="18"/>
                <w:szCs w:val="18"/>
              </w:rPr>
            </w:pPr>
          </w:p>
          <w:p w:rsidR="00D35187" w:rsidRPr="00B53D21" w:rsidRDefault="00D35187" w:rsidP="003136A7">
            <w:pPr>
              <w:jc w:val="center"/>
              <w:rPr>
                <w:rFonts w:ascii="Arial" w:hAnsi="Arial" w:cs="Arial"/>
                <w:b/>
                <w:sz w:val="23"/>
                <w:szCs w:val="23"/>
              </w:rPr>
            </w:pPr>
            <w:r w:rsidRPr="00B53D21">
              <w:rPr>
                <w:rFonts w:ascii="Arial" w:hAnsi="Arial" w:cs="Arial"/>
                <w:b/>
                <w:sz w:val="23"/>
                <w:szCs w:val="23"/>
              </w:rPr>
              <w:t>xvi</w:t>
            </w:r>
          </w:p>
          <w:p w:rsidR="00D35187" w:rsidRPr="007764A2" w:rsidRDefault="00D35187" w:rsidP="003136A7">
            <w:pPr>
              <w:jc w:val="center"/>
              <w:rPr>
                <w:rFonts w:ascii="Arial" w:hAnsi="Arial" w:cs="Arial"/>
                <w:b/>
              </w:rPr>
            </w:pPr>
          </w:p>
          <w:p w:rsidR="00D35187" w:rsidRPr="00B53D21" w:rsidRDefault="00D35187" w:rsidP="003136A7">
            <w:pPr>
              <w:jc w:val="center"/>
              <w:rPr>
                <w:rFonts w:ascii="Arial" w:hAnsi="Arial" w:cs="Arial"/>
                <w:b/>
                <w:sz w:val="23"/>
                <w:szCs w:val="23"/>
              </w:rPr>
            </w:pPr>
            <w:r w:rsidRPr="00B53D21">
              <w:rPr>
                <w:rFonts w:ascii="Arial" w:hAnsi="Arial" w:cs="Arial"/>
                <w:b/>
                <w:sz w:val="23"/>
                <w:szCs w:val="23"/>
              </w:rPr>
              <w:t>xviii</w:t>
            </w:r>
          </w:p>
          <w:p w:rsidR="00D35187" w:rsidRPr="00B53D21" w:rsidRDefault="00D35187" w:rsidP="003136A7">
            <w:pPr>
              <w:jc w:val="center"/>
              <w:rPr>
                <w:rFonts w:ascii="Arial" w:hAnsi="Arial" w:cs="Arial"/>
                <w:b/>
                <w:sz w:val="23"/>
                <w:szCs w:val="23"/>
              </w:rPr>
            </w:pPr>
            <w:r w:rsidRPr="00B53D21">
              <w:rPr>
                <w:rFonts w:ascii="Arial" w:hAnsi="Arial" w:cs="Arial"/>
                <w:b/>
                <w:sz w:val="23"/>
                <w:szCs w:val="23"/>
              </w:rPr>
              <w:t>xxi</w:t>
            </w:r>
          </w:p>
          <w:p w:rsidR="00D35187" w:rsidRPr="00B53D21" w:rsidRDefault="00D35187" w:rsidP="003136A7">
            <w:pPr>
              <w:jc w:val="center"/>
              <w:rPr>
                <w:rFonts w:ascii="Arial" w:hAnsi="Arial" w:cs="Arial"/>
                <w:b/>
                <w:sz w:val="23"/>
                <w:szCs w:val="23"/>
              </w:rPr>
            </w:pPr>
            <w:r w:rsidRPr="00B53D21">
              <w:rPr>
                <w:rFonts w:ascii="Arial" w:hAnsi="Arial" w:cs="Arial"/>
                <w:b/>
                <w:sz w:val="23"/>
                <w:szCs w:val="23"/>
              </w:rPr>
              <w:t>xxiv</w:t>
            </w:r>
          </w:p>
          <w:p w:rsidR="00D35187" w:rsidRPr="00D76CB2" w:rsidRDefault="00D35187" w:rsidP="00B128A1">
            <w:pPr>
              <w:jc w:val="right"/>
            </w:pPr>
          </w:p>
        </w:tc>
      </w:tr>
    </w:tbl>
    <w:p w:rsidR="00D35187" w:rsidRDefault="00D35187" w:rsidP="00D35187">
      <w:pPr>
        <w:pStyle w:val="Heading6"/>
        <w:jc w:val="left"/>
        <w:rPr>
          <w:sz w:val="26"/>
          <w:szCs w:val="26"/>
          <w:u w:val="none"/>
        </w:rPr>
      </w:pPr>
      <w:r>
        <w:rPr>
          <w:b/>
          <w:bCs/>
          <w:sz w:val="26"/>
          <w:szCs w:val="26"/>
        </w:rPr>
        <w:t>Chapter 5.0: Discussion</w:t>
      </w:r>
      <w:r>
        <w:rPr>
          <w:b/>
          <w:bCs/>
          <w:sz w:val="26"/>
          <w:szCs w:val="26"/>
          <w:u w:val="none"/>
        </w:rPr>
        <w:t xml:space="preserve">                                                                          </w:t>
      </w:r>
    </w:p>
    <w:p w:rsidR="00D35187" w:rsidRDefault="00D35187" w:rsidP="00D35187">
      <w:pPr>
        <w:rPr>
          <w:rFonts w:ascii="Arial" w:hAnsi="Arial" w:cs="Arial"/>
          <w:sz w:val="23"/>
          <w:szCs w:val="23"/>
        </w:rPr>
      </w:pPr>
      <w:r>
        <w:rPr>
          <w:rFonts w:ascii="Arial" w:hAnsi="Arial" w:cs="Arial"/>
          <w:sz w:val="28"/>
        </w:rPr>
        <w:t xml:space="preserve">             </w:t>
      </w:r>
      <w:r>
        <w:rPr>
          <w:rFonts w:ascii="Arial" w:hAnsi="Arial" w:cs="Arial"/>
          <w:sz w:val="23"/>
          <w:szCs w:val="23"/>
        </w:rPr>
        <w:t xml:space="preserve"> 5.1: Species response at Priestley Clough                                               </w:t>
      </w:r>
    </w:p>
    <w:p w:rsidR="00D35187" w:rsidRDefault="00D35187" w:rsidP="00D35187">
      <w:pPr>
        <w:rPr>
          <w:rFonts w:ascii="Arial" w:hAnsi="Arial" w:cs="Arial"/>
          <w:sz w:val="23"/>
          <w:szCs w:val="23"/>
        </w:rPr>
      </w:pPr>
      <w:r>
        <w:rPr>
          <w:rFonts w:ascii="Arial" w:hAnsi="Arial" w:cs="Arial"/>
          <w:sz w:val="23"/>
          <w:szCs w:val="23"/>
        </w:rPr>
        <w:t xml:space="preserve">                 5.2: Other studies                                                                                     </w:t>
      </w:r>
    </w:p>
    <w:p w:rsidR="00D35187" w:rsidRDefault="00D35187" w:rsidP="00D35187">
      <w:pPr>
        <w:rPr>
          <w:rFonts w:ascii="Arial" w:hAnsi="Arial" w:cs="Arial"/>
          <w:sz w:val="23"/>
          <w:szCs w:val="23"/>
        </w:rPr>
      </w:pPr>
      <w:r>
        <w:rPr>
          <w:rFonts w:ascii="Arial" w:hAnsi="Arial" w:cs="Arial"/>
          <w:sz w:val="23"/>
          <w:szCs w:val="23"/>
        </w:rPr>
        <w:t xml:space="preserve">                 5.3: Conclusion                                                                                         </w:t>
      </w:r>
    </w:p>
    <w:p w:rsidR="00D35187" w:rsidRDefault="00D35187" w:rsidP="00D35187">
      <w:pPr>
        <w:rPr>
          <w:rFonts w:ascii="Arial" w:hAnsi="Arial" w:cs="Arial"/>
          <w:sz w:val="23"/>
          <w:szCs w:val="23"/>
        </w:rPr>
      </w:pPr>
      <w:r>
        <w:rPr>
          <w:rFonts w:ascii="Arial" w:hAnsi="Arial" w:cs="Arial"/>
          <w:sz w:val="23"/>
          <w:szCs w:val="23"/>
        </w:rPr>
        <w:t xml:space="preserve">                 5.4: Limitations                                                                                         </w:t>
      </w:r>
    </w:p>
    <w:p w:rsidR="00D35187" w:rsidRDefault="00D35187" w:rsidP="00D35187">
      <w:pPr>
        <w:rPr>
          <w:rFonts w:ascii="Arial" w:hAnsi="Arial" w:cs="Arial"/>
          <w:sz w:val="23"/>
          <w:szCs w:val="23"/>
        </w:rPr>
      </w:pPr>
      <w:r>
        <w:rPr>
          <w:rFonts w:ascii="Arial" w:hAnsi="Arial" w:cs="Arial"/>
          <w:sz w:val="23"/>
          <w:szCs w:val="23"/>
        </w:rPr>
        <w:t xml:space="preserve">                 5.5: Future Work                                                                                       </w:t>
      </w:r>
    </w:p>
    <w:p w:rsidR="00D35187" w:rsidRDefault="00D35187" w:rsidP="00D35187">
      <w:pPr>
        <w:jc w:val="both"/>
        <w:rPr>
          <w:rFonts w:ascii="Arial" w:hAnsi="Arial" w:cs="Arial"/>
          <w:sz w:val="22"/>
          <w:szCs w:val="22"/>
        </w:rPr>
      </w:pPr>
    </w:p>
    <w:p w:rsidR="00D35187" w:rsidRDefault="00D35187" w:rsidP="00D35187">
      <w:pPr>
        <w:pStyle w:val="Heading6"/>
        <w:rPr>
          <w:sz w:val="27"/>
        </w:rPr>
      </w:pPr>
    </w:p>
    <w:p w:rsidR="00D35187" w:rsidRDefault="00D35187" w:rsidP="00D35187">
      <w:pPr>
        <w:pStyle w:val="Heading6"/>
        <w:rPr>
          <w:sz w:val="27"/>
          <w:u w:val="none"/>
        </w:rPr>
      </w:pPr>
      <w:r>
        <w:rPr>
          <w:b/>
          <w:bCs/>
          <w:sz w:val="27"/>
        </w:rPr>
        <w:t>References</w:t>
      </w:r>
      <w:r>
        <w:rPr>
          <w:sz w:val="27"/>
          <w:u w:val="none"/>
        </w:rPr>
        <w:t xml:space="preserve">                                                                                           </w:t>
      </w:r>
    </w:p>
    <w:p w:rsidR="00D35187" w:rsidRDefault="00D35187" w:rsidP="00D35187">
      <w:pPr>
        <w:jc w:val="both"/>
        <w:rPr>
          <w:rFonts w:ascii="Arial" w:hAnsi="Arial" w:cs="Arial"/>
          <w:sz w:val="28"/>
        </w:rPr>
      </w:pPr>
    </w:p>
    <w:p w:rsidR="00D35187" w:rsidRDefault="00D35187" w:rsidP="00D35187">
      <w:pPr>
        <w:pStyle w:val="Heading6"/>
        <w:rPr>
          <w:sz w:val="27"/>
        </w:rPr>
      </w:pPr>
    </w:p>
    <w:p w:rsidR="00D35187" w:rsidRDefault="00D35187" w:rsidP="00D35187">
      <w:pPr>
        <w:pStyle w:val="Heading6"/>
        <w:rPr>
          <w:b/>
          <w:bCs/>
          <w:sz w:val="27"/>
          <w:u w:val="none"/>
        </w:rPr>
      </w:pPr>
      <w:r>
        <w:rPr>
          <w:b/>
          <w:bCs/>
          <w:sz w:val="27"/>
        </w:rPr>
        <w:t>Appendices</w:t>
      </w:r>
      <w:r>
        <w:rPr>
          <w:b/>
          <w:bCs/>
          <w:sz w:val="27"/>
          <w:u w:val="none"/>
        </w:rPr>
        <w:t xml:space="preserve">                                                                                         </w:t>
      </w:r>
    </w:p>
    <w:p w:rsidR="00D35187" w:rsidRDefault="00D35187" w:rsidP="00D35187">
      <w:pPr>
        <w:rPr>
          <w:rFonts w:ascii="Arial" w:hAnsi="Arial" w:cs="Arial"/>
          <w:sz w:val="23"/>
          <w:szCs w:val="23"/>
        </w:rPr>
      </w:pPr>
      <w:r>
        <w:rPr>
          <w:rFonts w:ascii="Arial" w:hAnsi="Arial" w:cs="Arial"/>
          <w:sz w:val="23"/>
          <w:szCs w:val="23"/>
        </w:rPr>
        <w:t xml:space="preserve">      Appendix A: Health &amp; Safety and Ethics forms                                   </w:t>
      </w:r>
    </w:p>
    <w:p w:rsidR="00D35187" w:rsidRDefault="00D35187" w:rsidP="00D35187">
      <w:pPr>
        <w:rPr>
          <w:rFonts w:ascii="Arial" w:hAnsi="Arial" w:cs="Arial"/>
          <w:sz w:val="23"/>
          <w:szCs w:val="23"/>
        </w:rPr>
      </w:pPr>
      <w:r>
        <w:rPr>
          <w:rFonts w:ascii="Arial" w:hAnsi="Arial" w:cs="Arial"/>
          <w:sz w:val="23"/>
          <w:szCs w:val="23"/>
        </w:rPr>
        <w:t xml:space="preserve">      Appendix B: Permission to carry out research                                     </w:t>
      </w:r>
    </w:p>
    <w:p w:rsidR="00D35187" w:rsidRDefault="00D35187" w:rsidP="00D35187">
      <w:pPr>
        <w:rPr>
          <w:rFonts w:ascii="Arial" w:hAnsi="Arial" w:cs="Arial"/>
          <w:sz w:val="23"/>
          <w:szCs w:val="23"/>
        </w:rPr>
      </w:pPr>
      <w:r>
        <w:rPr>
          <w:rFonts w:ascii="Arial" w:hAnsi="Arial" w:cs="Arial"/>
          <w:sz w:val="23"/>
          <w:szCs w:val="23"/>
        </w:rPr>
        <w:t xml:space="preserve">      Appendix C: How to set up an increment borer                                 </w:t>
      </w:r>
    </w:p>
    <w:p w:rsidR="00D35187" w:rsidRDefault="00D35187" w:rsidP="00D35187">
      <w:pPr>
        <w:rPr>
          <w:rFonts w:ascii="Arial" w:hAnsi="Arial" w:cs="Arial"/>
          <w:sz w:val="23"/>
          <w:szCs w:val="23"/>
        </w:rPr>
      </w:pPr>
      <w:r>
        <w:rPr>
          <w:rFonts w:ascii="Arial" w:hAnsi="Arial" w:cs="Arial"/>
          <w:sz w:val="23"/>
          <w:szCs w:val="23"/>
        </w:rPr>
        <w:t xml:space="preserve">      Appendix D: Raw ring width data for this study                                                 </w:t>
      </w:r>
    </w:p>
    <w:p w:rsidR="00D35187" w:rsidRPr="00D76CB2" w:rsidRDefault="00D35187" w:rsidP="00D35187">
      <w:pPr>
        <w:rPr>
          <w:rFonts w:ascii="Arial" w:hAnsi="Arial" w:cs="Arial"/>
          <w:b/>
          <w:bCs/>
          <w:sz w:val="23"/>
          <w:szCs w:val="23"/>
        </w:rPr>
      </w:pPr>
      <w:r>
        <w:rPr>
          <w:rFonts w:ascii="Arial" w:hAnsi="Arial" w:cs="Arial"/>
          <w:sz w:val="23"/>
          <w:szCs w:val="23"/>
        </w:rPr>
        <w:t xml:space="preserve">      Appendix E: Precipitation and temperature records                                           </w:t>
      </w:r>
    </w:p>
    <w:p w:rsidR="00D35187" w:rsidRDefault="00D35187" w:rsidP="00D35187">
      <w:pPr>
        <w:rPr>
          <w:rFonts w:ascii="Arial" w:hAnsi="Arial" w:cs="Arial"/>
          <w:sz w:val="23"/>
          <w:szCs w:val="23"/>
        </w:rPr>
      </w:pPr>
      <w:r>
        <w:rPr>
          <w:rFonts w:ascii="Arial" w:hAnsi="Arial" w:cs="Arial"/>
          <w:sz w:val="23"/>
          <w:szCs w:val="23"/>
        </w:rPr>
        <w:t xml:space="preserve">                           (1972-2012)</w:t>
      </w:r>
    </w:p>
    <w:p w:rsidR="00D35187" w:rsidRDefault="00D35187" w:rsidP="00D35187">
      <w:pPr>
        <w:rPr>
          <w:rFonts w:ascii="Arial" w:hAnsi="Arial" w:cs="Arial"/>
          <w:sz w:val="23"/>
          <w:szCs w:val="23"/>
        </w:rPr>
      </w:pPr>
      <w:r>
        <w:rPr>
          <w:rFonts w:ascii="Arial" w:hAnsi="Arial" w:cs="Arial"/>
          <w:sz w:val="23"/>
          <w:szCs w:val="23"/>
        </w:rPr>
        <w:t xml:space="preserve">      Appendix F: Comparison of precipitation and temperature                               </w:t>
      </w:r>
    </w:p>
    <w:p w:rsidR="00D35187" w:rsidRDefault="00D35187" w:rsidP="00D35187">
      <w:pPr>
        <w:rPr>
          <w:rFonts w:ascii="Arial" w:hAnsi="Arial" w:cs="Arial"/>
          <w:sz w:val="23"/>
          <w:szCs w:val="23"/>
        </w:rPr>
      </w:pPr>
      <w:r>
        <w:rPr>
          <w:rFonts w:ascii="Arial" w:hAnsi="Arial" w:cs="Arial"/>
          <w:sz w:val="23"/>
          <w:szCs w:val="23"/>
        </w:rPr>
        <w:t xml:space="preserve">                           data (1972-2012)</w:t>
      </w:r>
    </w:p>
    <w:p w:rsidR="00D35187" w:rsidRDefault="00D35187" w:rsidP="00D35187">
      <w:pPr>
        <w:rPr>
          <w:rFonts w:ascii="Arial" w:hAnsi="Arial" w:cs="Arial"/>
          <w:sz w:val="23"/>
          <w:szCs w:val="23"/>
        </w:rPr>
      </w:pPr>
      <w:r>
        <w:rPr>
          <w:rFonts w:ascii="Arial" w:hAnsi="Arial" w:cs="Arial"/>
          <w:sz w:val="23"/>
          <w:szCs w:val="23"/>
        </w:rPr>
        <w:t xml:space="preserve">      Appendix G: Raw ring width data (mm) for other studies                                </w:t>
      </w:r>
    </w:p>
    <w:p w:rsidR="00D35187" w:rsidRDefault="00D35187" w:rsidP="00D35187">
      <w:pPr>
        <w:rPr>
          <w:rFonts w:ascii="Arial" w:hAnsi="Arial" w:cs="Arial"/>
          <w:sz w:val="23"/>
          <w:szCs w:val="23"/>
        </w:rPr>
      </w:pPr>
      <w:r>
        <w:rPr>
          <w:rFonts w:ascii="Arial" w:hAnsi="Arial" w:cs="Arial"/>
          <w:sz w:val="23"/>
          <w:szCs w:val="23"/>
        </w:rPr>
        <w:t xml:space="preserve">      Appendix H: Normality tests for each data set                                                   </w:t>
      </w:r>
    </w:p>
    <w:p w:rsidR="00D35187" w:rsidRDefault="00D35187" w:rsidP="00D35187">
      <w:pPr>
        <w:rPr>
          <w:rFonts w:ascii="Arial" w:hAnsi="Arial" w:cs="Arial"/>
          <w:sz w:val="23"/>
          <w:szCs w:val="23"/>
        </w:rPr>
      </w:pPr>
      <w:r>
        <w:rPr>
          <w:rFonts w:ascii="Arial" w:hAnsi="Arial" w:cs="Arial"/>
          <w:sz w:val="23"/>
          <w:szCs w:val="23"/>
        </w:rPr>
        <w:t xml:space="preserve">      Appendix I:  Critical Values for Pearson’s Correlation                                     </w:t>
      </w:r>
    </w:p>
    <w:p w:rsidR="00D35187" w:rsidRDefault="00D35187" w:rsidP="00D35187">
      <w:pPr>
        <w:rPr>
          <w:rFonts w:ascii="Arial" w:hAnsi="Arial" w:cs="Arial"/>
          <w:sz w:val="23"/>
          <w:szCs w:val="23"/>
        </w:rPr>
      </w:pPr>
      <w:r>
        <w:rPr>
          <w:rFonts w:ascii="Arial" w:hAnsi="Arial" w:cs="Arial"/>
          <w:sz w:val="23"/>
          <w:szCs w:val="23"/>
        </w:rPr>
        <w:t xml:space="preserve">                          Coefficient</w:t>
      </w:r>
    </w:p>
    <w:p w:rsidR="00D35187" w:rsidRDefault="00D35187" w:rsidP="00D35187"/>
    <w:p w:rsidR="00D35187" w:rsidRDefault="00D35187" w:rsidP="00D35187">
      <w:pPr>
        <w:pStyle w:val="Heading6"/>
        <w:jc w:val="left"/>
        <w:rPr>
          <w:b/>
          <w:bCs/>
          <w:sz w:val="26"/>
          <w:szCs w:val="26"/>
        </w:rPr>
      </w:pPr>
    </w:p>
    <w:p w:rsidR="00D35187" w:rsidRDefault="00D35187" w:rsidP="00D35187">
      <w:pPr>
        <w:pStyle w:val="Heading6"/>
        <w:jc w:val="left"/>
        <w:rPr>
          <w:b/>
          <w:bCs/>
          <w:sz w:val="26"/>
          <w:szCs w:val="26"/>
        </w:rPr>
      </w:pPr>
    </w:p>
    <w:p w:rsidR="00D35187" w:rsidRDefault="00D35187" w:rsidP="00D35187">
      <w:pPr>
        <w:pStyle w:val="Heading6"/>
        <w:rPr>
          <w:sz w:val="27"/>
        </w:rPr>
      </w:pPr>
    </w:p>
    <w:p w:rsidR="001C0D62" w:rsidRDefault="001C0D62">
      <w:pPr>
        <w:jc w:val="both"/>
        <w:rPr>
          <w:rFonts w:ascii="Arial" w:hAnsi="Arial" w:cs="Arial"/>
          <w:sz w:val="28"/>
        </w:rPr>
      </w:pPr>
    </w:p>
    <w:p w:rsidR="001C0D62" w:rsidRDefault="001C0D62">
      <w:pPr>
        <w:jc w:val="both"/>
        <w:rPr>
          <w:rFonts w:ascii="Arial" w:hAnsi="Arial" w:cs="Arial"/>
          <w:sz w:val="28"/>
        </w:rPr>
      </w:pPr>
    </w:p>
    <w:p w:rsidR="001C0D62" w:rsidRDefault="001C0D62">
      <w:pPr>
        <w:jc w:val="both"/>
        <w:rPr>
          <w:rFonts w:ascii="Arial" w:hAnsi="Arial" w:cs="Arial"/>
          <w:sz w:val="28"/>
        </w:rPr>
      </w:pPr>
    </w:p>
    <w:p w:rsidR="001C0D62" w:rsidRDefault="001C0D62">
      <w:pPr>
        <w:jc w:val="both"/>
        <w:rPr>
          <w:rFonts w:ascii="Arial" w:hAnsi="Arial" w:cs="Arial"/>
          <w:sz w:val="28"/>
        </w:rPr>
      </w:pPr>
    </w:p>
    <w:p w:rsidR="001C0D62" w:rsidRDefault="001C0D62">
      <w:pPr>
        <w:jc w:val="both"/>
        <w:rPr>
          <w:rFonts w:ascii="Arial" w:hAnsi="Arial" w:cs="Arial"/>
          <w:sz w:val="28"/>
        </w:rPr>
      </w:pPr>
    </w:p>
    <w:p w:rsidR="001C0D62" w:rsidRDefault="001C0D62">
      <w:pPr>
        <w:jc w:val="both"/>
        <w:rPr>
          <w:rFonts w:ascii="Arial" w:hAnsi="Arial" w:cs="Arial"/>
          <w:sz w:val="28"/>
        </w:rPr>
      </w:pPr>
    </w:p>
    <w:p w:rsidR="001C0D62" w:rsidRDefault="001C0D62">
      <w:pPr>
        <w:jc w:val="both"/>
        <w:rPr>
          <w:rFonts w:ascii="Arial" w:hAnsi="Arial" w:cs="Arial"/>
          <w:sz w:val="28"/>
        </w:rPr>
      </w:pPr>
    </w:p>
    <w:p w:rsidR="001C0D62" w:rsidRDefault="001C0D62">
      <w:pPr>
        <w:jc w:val="both"/>
        <w:rPr>
          <w:rFonts w:ascii="Arial" w:hAnsi="Arial" w:cs="Arial"/>
          <w:sz w:val="28"/>
        </w:rPr>
      </w:pPr>
    </w:p>
    <w:p w:rsidR="001C0D62" w:rsidRDefault="001C0D62">
      <w:pPr>
        <w:jc w:val="both"/>
        <w:rPr>
          <w:rFonts w:ascii="Arial" w:hAnsi="Arial" w:cs="Arial"/>
          <w:sz w:val="28"/>
        </w:rPr>
      </w:pPr>
    </w:p>
    <w:p w:rsidR="001C0D62" w:rsidRDefault="001C0D62">
      <w:pPr>
        <w:jc w:val="both"/>
        <w:rPr>
          <w:rFonts w:ascii="Arial" w:hAnsi="Arial" w:cs="Arial"/>
          <w:sz w:val="28"/>
        </w:rPr>
      </w:pPr>
    </w:p>
    <w:p w:rsidR="001C0D62" w:rsidRDefault="001C0D62">
      <w:pPr>
        <w:jc w:val="both"/>
        <w:rPr>
          <w:rFonts w:ascii="Arial" w:hAnsi="Arial" w:cs="Arial"/>
          <w:sz w:val="28"/>
        </w:rPr>
      </w:pPr>
    </w:p>
    <w:p w:rsidR="001C0D62" w:rsidRDefault="001C0D62">
      <w:pPr>
        <w:jc w:val="both"/>
        <w:rPr>
          <w:rFonts w:ascii="Arial" w:hAnsi="Arial" w:cs="Arial"/>
          <w:sz w:val="28"/>
        </w:rPr>
      </w:pPr>
    </w:p>
    <w:p w:rsidR="001C0D62" w:rsidRDefault="001C0D62">
      <w:pPr>
        <w:jc w:val="both"/>
        <w:rPr>
          <w:rFonts w:ascii="Arial" w:hAnsi="Arial" w:cs="Arial"/>
          <w:sz w:val="28"/>
        </w:rPr>
      </w:pPr>
    </w:p>
    <w:p w:rsidR="001C0D62" w:rsidRDefault="001C0D62">
      <w:pPr>
        <w:jc w:val="both"/>
        <w:rPr>
          <w:rFonts w:ascii="Arial" w:hAnsi="Arial" w:cs="Arial"/>
          <w:sz w:val="28"/>
        </w:rPr>
      </w:pPr>
    </w:p>
    <w:p w:rsidR="007740BA" w:rsidRDefault="007740BA">
      <w:pPr>
        <w:jc w:val="both"/>
        <w:rPr>
          <w:rFonts w:ascii="Arial" w:hAnsi="Arial" w:cs="Arial"/>
          <w:sz w:val="28"/>
        </w:rPr>
      </w:pPr>
    </w:p>
    <w:p w:rsidR="00E041A1" w:rsidRDefault="00E041A1" w:rsidP="00E041A1">
      <w:pPr>
        <w:jc w:val="center"/>
        <w:rPr>
          <w:rFonts w:ascii="Arial" w:hAnsi="Arial" w:cs="Arial"/>
          <w:b/>
          <w:bCs/>
          <w:sz w:val="32"/>
          <w:u w:val="single"/>
        </w:rPr>
      </w:pPr>
      <w:r>
        <w:rPr>
          <w:rFonts w:ascii="Arial" w:hAnsi="Arial" w:cs="Arial"/>
          <w:b/>
          <w:bCs/>
          <w:sz w:val="32"/>
          <w:u w:val="single"/>
        </w:rPr>
        <w:lastRenderedPageBreak/>
        <w:t>List of Figures</w:t>
      </w:r>
    </w:p>
    <w:p w:rsidR="00E041A1" w:rsidRDefault="00E041A1" w:rsidP="00E041A1">
      <w:pPr>
        <w:jc w:val="center"/>
        <w:rPr>
          <w:rFonts w:ascii="Arial" w:hAnsi="Arial" w:cs="Arial"/>
          <w:b/>
          <w:bCs/>
          <w:u w:val="single"/>
        </w:rPr>
      </w:pPr>
    </w:p>
    <w:tbl>
      <w:tblPr>
        <w:tblpPr w:leftFromText="180" w:rightFromText="180" w:vertAnchor="text" w:tblpX="8029" w:tblpY="44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00"/>
      </w:tblGrid>
      <w:tr w:rsidR="00E041A1">
        <w:tblPrEx>
          <w:tblCellMar>
            <w:top w:w="0" w:type="dxa"/>
            <w:bottom w:w="0" w:type="dxa"/>
          </w:tblCellMar>
        </w:tblPrEx>
        <w:trPr>
          <w:trHeight w:val="11520"/>
        </w:trPr>
        <w:tc>
          <w:tcPr>
            <w:tcW w:w="600" w:type="dxa"/>
            <w:tcBorders>
              <w:top w:val="nil"/>
              <w:left w:val="nil"/>
              <w:bottom w:val="nil"/>
              <w:right w:val="nil"/>
            </w:tcBorders>
          </w:tcPr>
          <w:p w:rsidR="00E041A1" w:rsidRPr="00E041A1" w:rsidRDefault="00E041A1" w:rsidP="00B128A1">
            <w:pPr>
              <w:pStyle w:val="Heading8"/>
              <w:jc w:val="center"/>
              <w:rPr>
                <w:sz w:val="23"/>
                <w:szCs w:val="23"/>
                <w:u w:val="none"/>
              </w:rPr>
            </w:pPr>
            <w:r w:rsidRPr="00E041A1">
              <w:rPr>
                <w:sz w:val="23"/>
                <w:szCs w:val="23"/>
                <w:u w:val="none"/>
              </w:rPr>
              <w:t>15</w:t>
            </w:r>
          </w:p>
          <w:p w:rsidR="00E041A1" w:rsidRPr="002722AA" w:rsidRDefault="00E041A1" w:rsidP="00B128A1">
            <w:pPr>
              <w:jc w:val="center"/>
              <w:rPr>
                <w:rFonts w:ascii="Arial" w:hAnsi="Arial" w:cs="Arial"/>
                <w:b/>
              </w:rPr>
            </w:pPr>
          </w:p>
          <w:p w:rsidR="00E041A1" w:rsidRPr="00DD3E91" w:rsidRDefault="00E041A1" w:rsidP="00B128A1">
            <w:pPr>
              <w:jc w:val="center"/>
              <w:rPr>
                <w:rFonts w:ascii="Arial" w:hAnsi="Arial" w:cs="Arial"/>
                <w:b/>
                <w:sz w:val="23"/>
                <w:szCs w:val="23"/>
              </w:rPr>
            </w:pPr>
          </w:p>
          <w:p w:rsidR="00E041A1" w:rsidRPr="00DD3E91" w:rsidRDefault="00E041A1" w:rsidP="00B128A1">
            <w:pPr>
              <w:jc w:val="center"/>
              <w:rPr>
                <w:rFonts w:ascii="Arial" w:hAnsi="Arial" w:cs="Arial"/>
                <w:b/>
                <w:sz w:val="23"/>
                <w:szCs w:val="23"/>
              </w:rPr>
            </w:pPr>
            <w:r w:rsidRPr="00DD3E91">
              <w:rPr>
                <w:rFonts w:ascii="Arial" w:hAnsi="Arial" w:cs="Arial"/>
                <w:b/>
                <w:sz w:val="23"/>
                <w:szCs w:val="23"/>
              </w:rPr>
              <w:t>22</w:t>
            </w:r>
          </w:p>
          <w:p w:rsidR="00E041A1" w:rsidRPr="00DD3E91" w:rsidRDefault="00E041A1" w:rsidP="00B128A1">
            <w:pPr>
              <w:jc w:val="center"/>
              <w:rPr>
                <w:rFonts w:ascii="Arial" w:hAnsi="Arial" w:cs="Arial"/>
                <w:b/>
                <w:sz w:val="23"/>
                <w:szCs w:val="23"/>
              </w:rPr>
            </w:pPr>
            <w:r w:rsidRPr="00DD3E91">
              <w:rPr>
                <w:rFonts w:ascii="Arial" w:hAnsi="Arial" w:cs="Arial"/>
                <w:b/>
                <w:sz w:val="23"/>
                <w:szCs w:val="23"/>
              </w:rPr>
              <w:t>22</w:t>
            </w:r>
          </w:p>
          <w:p w:rsidR="00E041A1" w:rsidRPr="00DD3E91" w:rsidRDefault="00E041A1" w:rsidP="00B128A1">
            <w:pPr>
              <w:jc w:val="center"/>
              <w:rPr>
                <w:rFonts w:ascii="Arial" w:hAnsi="Arial" w:cs="Arial"/>
                <w:b/>
                <w:sz w:val="23"/>
                <w:szCs w:val="23"/>
              </w:rPr>
            </w:pPr>
            <w:r w:rsidRPr="00DD3E91">
              <w:rPr>
                <w:rFonts w:ascii="Arial" w:hAnsi="Arial" w:cs="Arial"/>
                <w:b/>
                <w:sz w:val="23"/>
                <w:szCs w:val="23"/>
              </w:rPr>
              <w:t>xiii</w:t>
            </w:r>
          </w:p>
          <w:p w:rsidR="00E041A1" w:rsidRPr="00DD3E91" w:rsidRDefault="00E041A1" w:rsidP="00B128A1">
            <w:pPr>
              <w:jc w:val="center"/>
              <w:rPr>
                <w:rFonts w:ascii="Arial" w:hAnsi="Arial" w:cs="Arial"/>
                <w:b/>
                <w:sz w:val="23"/>
                <w:szCs w:val="23"/>
              </w:rPr>
            </w:pPr>
          </w:p>
          <w:p w:rsidR="00E041A1" w:rsidRPr="00DD3E91" w:rsidRDefault="00E041A1" w:rsidP="00B128A1">
            <w:pPr>
              <w:jc w:val="center"/>
              <w:rPr>
                <w:rFonts w:ascii="Arial" w:hAnsi="Arial" w:cs="Arial"/>
                <w:b/>
                <w:sz w:val="23"/>
                <w:szCs w:val="23"/>
              </w:rPr>
            </w:pPr>
            <w:r w:rsidRPr="00DD3E91">
              <w:rPr>
                <w:rFonts w:ascii="Arial" w:hAnsi="Arial" w:cs="Arial"/>
                <w:b/>
                <w:sz w:val="23"/>
                <w:szCs w:val="23"/>
              </w:rPr>
              <w:t>xiii</w:t>
            </w:r>
          </w:p>
          <w:p w:rsidR="00E041A1" w:rsidRPr="00DD3E91" w:rsidRDefault="00E041A1" w:rsidP="00B128A1">
            <w:pPr>
              <w:jc w:val="center"/>
              <w:rPr>
                <w:rFonts w:ascii="Arial" w:hAnsi="Arial" w:cs="Arial"/>
                <w:b/>
                <w:sz w:val="23"/>
                <w:szCs w:val="23"/>
              </w:rPr>
            </w:pPr>
            <w:r w:rsidRPr="00DD3E91">
              <w:rPr>
                <w:rFonts w:ascii="Arial" w:hAnsi="Arial" w:cs="Arial"/>
                <w:b/>
                <w:sz w:val="23"/>
                <w:szCs w:val="23"/>
              </w:rPr>
              <w:t>25</w:t>
            </w:r>
          </w:p>
          <w:p w:rsidR="00E041A1" w:rsidRPr="00B132EC" w:rsidRDefault="00E041A1" w:rsidP="00B128A1">
            <w:pPr>
              <w:jc w:val="center"/>
              <w:rPr>
                <w:rFonts w:ascii="Arial" w:hAnsi="Arial" w:cs="Arial"/>
                <w:b/>
              </w:rPr>
            </w:pPr>
          </w:p>
          <w:p w:rsidR="00E041A1" w:rsidRPr="00DD3E91" w:rsidRDefault="00E041A1" w:rsidP="00B128A1">
            <w:pPr>
              <w:jc w:val="center"/>
              <w:rPr>
                <w:rFonts w:ascii="Arial" w:hAnsi="Arial" w:cs="Arial"/>
                <w:b/>
                <w:sz w:val="23"/>
                <w:szCs w:val="23"/>
              </w:rPr>
            </w:pPr>
            <w:r w:rsidRPr="00DD3E91">
              <w:rPr>
                <w:rFonts w:ascii="Arial" w:hAnsi="Arial" w:cs="Arial"/>
                <w:b/>
                <w:sz w:val="23"/>
                <w:szCs w:val="23"/>
              </w:rPr>
              <w:t>27</w:t>
            </w:r>
          </w:p>
          <w:p w:rsidR="00E041A1" w:rsidRPr="00DD3E91" w:rsidRDefault="00E041A1" w:rsidP="00B128A1">
            <w:pPr>
              <w:jc w:val="center"/>
              <w:rPr>
                <w:rFonts w:ascii="Arial" w:hAnsi="Arial" w:cs="Arial"/>
                <w:b/>
                <w:sz w:val="23"/>
                <w:szCs w:val="23"/>
              </w:rPr>
            </w:pPr>
          </w:p>
          <w:p w:rsidR="00E041A1" w:rsidRPr="00DD3E91" w:rsidRDefault="00E041A1" w:rsidP="00B128A1">
            <w:pPr>
              <w:jc w:val="center"/>
              <w:rPr>
                <w:rFonts w:ascii="Arial" w:hAnsi="Arial" w:cs="Arial"/>
                <w:b/>
                <w:sz w:val="23"/>
                <w:szCs w:val="23"/>
              </w:rPr>
            </w:pPr>
            <w:r w:rsidRPr="00DD3E91">
              <w:rPr>
                <w:rFonts w:ascii="Arial" w:hAnsi="Arial" w:cs="Arial"/>
                <w:b/>
                <w:sz w:val="23"/>
                <w:szCs w:val="23"/>
              </w:rPr>
              <w:t>30</w:t>
            </w:r>
          </w:p>
          <w:p w:rsidR="00E041A1" w:rsidRPr="00DD3E91" w:rsidRDefault="00E041A1" w:rsidP="00B128A1">
            <w:pPr>
              <w:jc w:val="center"/>
              <w:rPr>
                <w:rFonts w:ascii="Arial" w:hAnsi="Arial" w:cs="Arial"/>
                <w:b/>
                <w:sz w:val="23"/>
                <w:szCs w:val="23"/>
              </w:rPr>
            </w:pPr>
            <w:r w:rsidRPr="00DD3E91">
              <w:rPr>
                <w:rFonts w:ascii="Arial" w:hAnsi="Arial" w:cs="Arial"/>
                <w:b/>
                <w:sz w:val="23"/>
                <w:szCs w:val="23"/>
              </w:rPr>
              <w:t>30</w:t>
            </w:r>
          </w:p>
          <w:p w:rsidR="00E041A1" w:rsidRPr="00DD3E91" w:rsidRDefault="00E041A1" w:rsidP="00B128A1">
            <w:pPr>
              <w:jc w:val="center"/>
              <w:rPr>
                <w:rFonts w:ascii="Arial" w:hAnsi="Arial" w:cs="Arial"/>
                <w:b/>
                <w:sz w:val="23"/>
                <w:szCs w:val="23"/>
              </w:rPr>
            </w:pPr>
            <w:r w:rsidRPr="00DD3E91">
              <w:rPr>
                <w:rFonts w:ascii="Arial" w:hAnsi="Arial" w:cs="Arial"/>
                <w:b/>
                <w:sz w:val="23"/>
                <w:szCs w:val="23"/>
              </w:rPr>
              <w:t>33</w:t>
            </w:r>
          </w:p>
          <w:p w:rsidR="00E041A1" w:rsidRPr="002722AA" w:rsidRDefault="00E041A1" w:rsidP="00B128A1">
            <w:pPr>
              <w:jc w:val="center"/>
              <w:rPr>
                <w:rFonts w:ascii="Arial" w:hAnsi="Arial" w:cs="Arial"/>
                <w:b/>
              </w:rPr>
            </w:pPr>
          </w:p>
          <w:p w:rsidR="00E041A1" w:rsidRPr="00DD3E91" w:rsidRDefault="00E041A1" w:rsidP="00B128A1">
            <w:pPr>
              <w:jc w:val="center"/>
              <w:rPr>
                <w:rFonts w:ascii="Arial" w:hAnsi="Arial" w:cs="Arial"/>
                <w:b/>
                <w:sz w:val="23"/>
                <w:szCs w:val="23"/>
              </w:rPr>
            </w:pPr>
            <w:r w:rsidRPr="00DD3E91">
              <w:rPr>
                <w:rFonts w:ascii="Arial" w:hAnsi="Arial" w:cs="Arial"/>
                <w:b/>
                <w:sz w:val="23"/>
                <w:szCs w:val="23"/>
              </w:rPr>
              <w:t>34</w:t>
            </w:r>
          </w:p>
          <w:p w:rsidR="00E041A1" w:rsidRPr="00DD3E91" w:rsidRDefault="00E041A1" w:rsidP="00B128A1">
            <w:pPr>
              <w:jc w:val="center"/>
              <w:rPr>
                <w:rFonts w:ascii="Arial" w:hAnsi="Arial" w:cs="Arial"/>
                <w:b/>
                <w:sz w:val="23"/>
                <w:szCs w:val="23"/>
              </w:rPr>
            </w:pPr>
          </w:p>
          <w:p w:rsidR="00E041A1" w:rsidRPr="00DD3E91" w:rsidRDefault="00E041A1" w:rsidP="00B128A1">
            <w:pPr>
              <w:jc w:val="center"/>
              <w:rPr>
                <w:rFonts w:ascii="Arial" w:hAnsi="Arial" w:cs="Arial"/>
                <w:b/>
                <w:sz w:val="23"/>
                <w:szCs w:val="23"/>
              </w:rPr>
            </w:pPr>
            <w:r w:rsidRPr="00DD3E91">
              <w:rPr>
                <w:rFonts w:ascii="Arial" w:hAnsi="Arial" w:cs="Arial"/>
                <w:b/>
                <w:sz w:val="23"/>
                <w:szCs w:val="23"/>
              </w:rPr>
              <w:t>35</w:t>
            </w:r>
          </w:p>
          <w:p w:rsidR="00E041A1" w:rsidRPr="00DD3E91" w:rsidRDefault="00E041A1" w:rsidP="00B128A1">
            <w:pPr>
              <w:jc w:val="center"/>
              <w:rPr>
                <w:rFonts w:ascii="Arial" w:hAnsi="Arial" w:cs="Arial"/>
                <w:b/>
                <w:sz w:val="23"/>
                <w:szCs w:val="23"/>
              </w:rPr>
            </w:pPr>
            <w:r w:rsidRPr="00DD3E91">
              <w:rPr>
                <w:rFonts w:ascii="Arial" w:hAnsi="Arial" w:cs="Arial"/>
                <w:b/>
                <w:sz w:val="23"/>
                <w:szCs w:val="23"/>
              </w:rPr>
              <w:t>36</w:t>
            </w:r>
          </w:p>
          <w:p w:rsidR="00E041A1" w:rsidRPr="002722AA" w:rsidRDefault="00E041A1" w:rsidP="00B128A1">
            <w:pPr>
              <w:jc w:val="center"/>
              <w:rPr>
                <w:rFonts w:ascii="Arial" w:hAnsi="Arial" w:cs="Arial"/>
                <w:b/>
                <w:sz w:val="21"/>
                <w:szCs w:val="21"/>
              </w:rPr>
            </w:pPr>
          </w:p>
          <w:p w:rsidR="00E041A1" w:rsidRPr="00DD3E91" w:rsidRDefault="00E041A1" w:rsidP="00B128A1">
            <w:pPr>
              <w:jc w:val="center"/>
              <w:rPr>
                <w:rFonts w:ascii="Arial" w:hAnsi="Arial" w:cs="Arial"/>
                <w:b/>
                <w:sz w:val="23"/>
                <w:szCs w:val="23"/>
              </w:rPr>
            </w:pPr>
            <w:r w:rsidRPr="00DD3E91">
              <w:rPr>
                <w:rFonts w:ascii="Arial" w:hAnsi="Arial" w:cs="Arial"/>
                <w:b/>
                <w:sz w:val="23"/>
                <w:szCs w:val="23"/>
              </w:rPr>
              <w:t>36</w:t>
            </w:r>
          </w:p>
          <w:p w:rsidR="00E041A1" w:rsidRPr="00DD3E91" w:rsidRDefault="00E041A1" w:rsidP="00B128A1">
            <w:pPr>
              <w:jc w:val="center"/>
              <w:rPr>
                <w:rFonts w:ascii="Arial" w:hAnsi="Arial" w:cs="Arial"/>
                <w:b/>
                <w:sz w:val="23"/>
                <w:szCs w:val="23"/>
              </w:rPr>
            </w:pPr>
          </w:p>
          <w:p w:rsidR="00E041A1" w:rsidRPr="00DD3E91" w:rsidRDefault="00E041A1" w:rsidP="00B128A1">
            <w:pPr>
              <w:jc w:val="center"/>
              <w:rPr>
                <w:rFonts w:ascii="Arial" w:hAnsi="Arial" w:cs="Arial"/>
                <w:b/>
                <w:sz w:val="23"/>
                <w:szCs w:val="23"/>
              </w:rPr>
            </w:pPr>
            <w:r w:rsidRPr="00DD3E91">
              <w:rPr>
                <w:rFonts w:ascii="Arial" w:hAnsi="Arial" w:cs="Arial"/>
                <w:b/>
                <w:sz w:val="23"/>
                <w:szCs w:val="23"/>
              </w:rPr>
              <w:t>37</w:t>
            </w:r>
          </w:p>
          <w:p w:rsidR="00E041A1" w:rsidRPr="00DD3E91" w:rsidRDefault="00E041A1" w:rsidP="00B128A1">
            <w:pPr>
              <w:jc w:val="center"/>
              <w:rPr>
                <w:rFonts w:ascii="Arial" w:hAnsi="Arial" w:cs="Arial"/>
                <w:b/>
                <w:sz w:val="23"/>
                <w:szCs w:val="23"/>
              </w:rPr>
            </w:pPr>
          </w:p>
          <w:p w:rsidR="00E041A1" w:rsidRPr="00DD3E91" w:rsidRDefault="00E041A1" w:rsidP="00B128A1">
            <w:pPr>
              <w:jc w:val="center"/>
              <w:rPr>
                <w:rFonts w:ascii="Arial" w:hAnsi="Arial" w:cs="Arial"/>
                <w:b/>
                <w:sz w:val="23"/>
                <w:szCs w:val="23"/>
              </w:rPr>
            </w:pPr>
            <w:r w:rsidRPr="00DD3E91">
              <w:rPr>
                <w:rFonts w:ascii="Arial" w:hAnsi="Arial" w:cs="Arial"/>
                <w:b/>
                <w:sz w:val="23"/>
                <w:szCs w:val="23"/>
              </w:rPr>
              <w:t>xvi</w:t>
            </w:r>
          </w:p>
          <w:p w:rsidR="00E041A1" w:rsidRPr="00DD3E91" w:rsidRDefault="00E041A1" w:rsidP="00B128A1">
            <w:pPr>
              <w:jc w:val="center"/>
              <w:rPr>
                <w:rFonts w:ascii="Arial" w:hAnsi="Arial" w:cs="Arial"/>
                <w:b/>
                <w:sz w:val="23"/>
                <w:szCs w:val="23"/>
              </w:rPr>
            </w:pPr>
          </w:p>
          <w:p w:rsidR="00E041A1" w:rsidRPr="00DD3E91" w:rsidRDefault="00E041A1" w:rsidP="00B128A1">
            <w:pPr>
              <w:jc w:val="center"/>
              <w:rPr>
                <w:rFonts w:ascii="Arial" w:hAnsi="Arial" w:cs="Arial"/>
                <w:b/>
                <w:sz w:val="23"/>
                <w:szCs w:val="23"/>
              </w:rPr>
            </w:pPr>
          </w:p>
          <w:p w:rsidR="00E041A1" w:rsidRPr="00DD3E91" w:rsidRDefault="00E041A1" w:rsidP="00B128A1">
            <w:pPr>
              <w:jc w:val="center"/>
              <w:rPr>
                <w:rFonts w:ascii="Arial" w:hAnsi="Arial" w:cs="Arial"/>
                <w:b/>
                <w:sz w:val="23"/>
                <w:szCs w:val="23"/>
              </w:rPr>
            </w:pPr>
            <w:r w:rsidRPr="00DD3E91">
              <w:rPr>
                <w:rFonts w:ascii="Arial" w:hAnsi="Arial" w:cs="Arial"/>
                <w:b/>
                <w:sz w:val="23"/>
                <w:szCs w:val="23"/>
              </w:rPr>
              <w:t>xvii</w:t>
            </w:r>
          </w:p>
          <w:p w:rsidR="00E041A1" w:rsidRPr="00DD3E91" w:rsidRDefault="00E041A1" w:rsidP="00B128A1">
            <w:pPr>
              <w:jc w:val="center"/>
              <w:rPr>
                <w:rFonts w:ascii="Arial" w:hAnsi="Arial" w:cs="Arial"/>
                <w:b/>
                <w:sz w:val="23"/>
                <w:szCs w:val="23"/>
              </w:rPr>
            </w:pPr>
          </w:p>
          <w:p w:rsidR="00E041A1" w:rsidRPr="00DD3E91" w:rsidRDefault="00E041A1" w:rsidP="00B128A1">
            <w:pPr>
              <w:jc w:val="center"/>
              <w:rPr>
                <w:rFonts w:ascii="Arial" w:hAnsi="Arial" w:cs="Arial"/>
                <w:b/>
                <w:sz w:val="23"/>
                <w:szCs w:val="23"/>
              </w:rPr>
            </w:pPr>
          </w:p>
          <w:p w:rsidR="00E041A1" w:rsidRPr="00DD3E91" w:rsidRDefault="00E041A1" w:rsidP="00B128A1">
            <w:pPr>
              <w:jc w:val="center"/>
              <w:rPr>
                <w:rFonts w:ascii="Arial" w:hAnsi="Arial" w:cs="Arial"/>
                <w:b/>
                <w:sz w:val="23"/>
                <w:szCs w:val="23"/>
              </w:rPr>
            </w:pPr>
            <w:r w:rsidRPr="00DD3E91">
              <w:rPr>
                <w:rFonts w:ascii="Arial" w:hAnsi="Arial" w:cs="Arial"/>
                <w:b/>
                <w:sz w:val="23"/>
                <w:szCs w:val="23"/>
              </w:rPr>
              <w:t>38</w:t>
            </w:r>
          </w:p>
          <w:p w:rsidR="00E041A1" w:rsidRPr="002722AA" w:rsidRDefault="00E041A1" w:rsidP="00B128A1">
            <w:pPr>
              <w:jc w:val="center"/>
              <w:rPr>
                <w:rFonts w:ascii="Arial" w:hAnsi="Arial" w:cs="Arial"/>
                <w:b/>
              </w:rPr>
            </w:pPr>
          </w:p>
          <w:p w:rsidR="00E041A1" w:rsidRDefault="00B132EC" w:rsidP="00B132EC">
            <w:pPr>
              <w:jc w:val="center"/>
              <w:rPr>
                <w:rFonts w:ascii="Arial" w:hAnsi="Arial" w:cs="Arial"/>
                <w:b/>
                <w:sz w:val="23"/>
                <w:szCs w:val="23"/>
              </w:rPr>
            </w:pPr>
            <w:r>
              <w:rPr>
                <w:rFonts w:ascii="Arial" w:hAnsi="Arial" w:cs="Arial"/>
                <w:b/>
                <w:sz w:val="23"/>
                <w:szCs w:val="23"/>
              </w:rPr>
              <w:t>40</w:t>
            </w:r>
          </w:p>
          <w:p w:rsidR="00B132EC" w:rsidRPr="00DD3E91" w:rsidRDefault="00B132EC" w:rsidP="00B132EC">
            <w:pPr>
              <w:jc w:val="center"/>
              <w:rPr>
                <w:rFonts w:ascii="Arial" w:hAnsi="Arial" w:cs="Arial"/>
                <w:b/>
                <w:sz w:val="23"/>
                <w:szCs w:val="23"/>
              </w:rPr>
            </w:pPr>
          </w:p>
          <w:p w:rsidR="00E041A1" w:rsidRDefault="00E041A1" w:rsidP="00B132EC">
            <w:pPr>
              <w:jc w:val="center"/>
              <w:rPr>
                <w:rFonts w:ascii="Arial" w:hAnsi="Arial" w:cs="Arial"/>
                <w:b/>
                <w:sz w:val="23"/>
                <w:szCs w:val="23"/>
              </w:rPr>
            </w:pPr>
            <w:r w:rsidRPr="00DD3E91">
              <w:rPr>
                <w:rFonts w:ascii="Arial" w:hAnsi="Arial" w:cs="Arial"/>
                <w:b/>
                <w:sz w:val="23"/>
                <w:szCs w:val="23"/>
              </w:rPr>
              <w:t>41</w:t>
            </w:r>
          </w:p>
          <w:p w:rsidR="00B132EC" w:rsidRPr="00DD3E91" w:rsidRDefault="00B132EC" w:rsidP="00B132EC">
            <w:pPr>
              <w:jc w:val="center"/>
              <w:rPr>
                <w:rFonts w:ascii="Arial" w:hAnsi="Arial" w:cs="Arial"/>
                <w:b/>
                <w:sz w:val="23"/>
                <w:szCs w:val="23"/>
              </w:rPr>
            </w:pPr>
          </w:p>
          <w:p w:rsidR="00E041A1" w:rsidRPr="00DD3E91" w:rsidRDefault="00E041A1" w:rsidP="00B128A1">
            <w:pPr>
              <w:jc w:val="center"/>
              <w:rPr>
                <w:rFonts w:ascii="Arial" w:hAnsi="Arial" w:cs="Arial"/>
                <w:b/>
                <w:sz w:val="23"/>
                <w:szCs w:val="23"/>
              </w:rPr>
            </w:pPr>
            <w:r w:rsidRPr="00DD3E91">
              <w:rPr>
                <w:rFonts w:ascii="Arial" w:hAnsi="Arial" w:cs="Arial"/>
                <w:b/>
                <w:sz w:val="23"/>
                <w:szCs w:val="23"/>
              </w:rPr>
              <w:t>42</w:t>
            </w:r>
          </w:p>
          <w:p w:rsidR="00E041A1" w:rsidRPr="00B132EC" w:rsidRDefault="00E041A1" w:rsidP="00B128A1">
            <w:pPr>
              <w:jc w:val="center"/>
              <w:rPr>
                <w:rFonts w:ascii="Arial" w:hAnsi="Arial" w:cs="Arial"/>
                <w:b/>
              </w:rPr>
            </w:pPr>
          </w:p>
          <w:p w:rsidR="00E041A1" w:rsidRPr="00DD3E91" w:rsidRDefault="00E041A1" w:rsidP="00B128A1">
            <w:pPr>
              <w:jc w:val="center"/>
              <w:rPr>
                <w:rFonts w:ascii="Arial" w:hAnsi="Arial" w:cs="Arial"/>
                <w:sz w:val="23"/>
                <w:szCs w:val="23"/>
              </w:rPr>
            </w:pPr>
            <w:r w:rsidRPr="00DD3E91">
              <w:rPr>
                <w:rFonts w:ascii="Arial" w:hAnsi="Arial" w:cs="Arial"/>
                <w:b/>
                <w:sz w:val="23"/>
                <w:szCs w:val="23"/>
              </w:rPr>
              <w:t>43</w:t>
            </w:r>
          </w:p>
        </w:tc>
      </w:tr>
    </w:tbl>
    <w:p w:rsidR="00E041A1" w:rsidRDefault="00E041A1" w:rsidP="00E041A1">
      <w:pPr>
        <w:pStyle w:val="Heading8"/>
        <w:rPr>
          <w:sz w:val="23"/>
          <w:szCs w:val="22"/>
        </w:rPr>
      </w:pPr>
    </w:p>
    <w:p w:rsidR="00B132EC" w:rsidRPr="00B132EC" w:rsidRDefault="00B132EC" w:rsidP="00B132EC">
      <w:pPr>
        <w:rPr>
          <w:sz w:val="16"/>
          <w:szCs w:val="16"/>
        </w:rPr>
      </w:pPr>
    </w:p>
    <w:p w:rsidR="00E041A1" w:rsidRPr="00E041A1" w:rsidRDefault="00E041A1" w:rsidP="00E041A1">
      <w:pPr>
        <w:pStyle w:val="Heading8"/>
        <w:rPr>
          <w:b w:val="0"/>
          <w:bCs w:val="0"/>
          <w:sz w:val="23"/>
          <w:szCs w:val="22"/>
          <w:u w:val="none"/>
        </w:rPr>
      </w:pPr>
      <w:r w:rsidRPr="00E041A1">
        <w:rPr>
          <w:sz w:val="23"/>
          <w:szCs w:val="22"/>
          <w:u w:val="none"/>
        </w:rPr>
        <w:t>Figure 2.0</w:t>
      </w:r>
      <w:r w:rsidRPr="002F2FFB">
        <w:rPr>
          <w:b w:val="0"/>
          <w:bCs w:val="0"/>
          <w:i/>
          <w:sz w:val="23"/>
          <w:szCs w:val="22"/>
        </w:rPr>
        <w:t xml:space="preserve">: </w:t>
      </w:r>
      <w:r w:rsidRPr="00E041A1">
        <w:rPr>
          <w:b w:val="0"/>
          <w:bCs w:val="0"/>
          <w:sz w:val="23"/>
          <w:szCs w:val="22"/>
          <w:u w:val="none"/>
        </w:rPr>
        <w:t xml:space="preserve">Relationship between mean ring width of </w:t>
      </w:r>
      <w:r w:rsidRPr="00E041A1">
        <w:rPr>
          <w:b w:val="0"/>
          <w:bCs w:val="0"/>
          <w:i/>
          <w:iCs/>
          <w:sz w:val="23"/>
          <w:szCs w:val="22"/>
          <w:u w:val="none"/>
        </w:rPr>
        <w:t>Quercus robur</w:t>
      </w:r>
      <w:r w:rsidRPr="00E041A1">
        <w:rPr>
          <w:b w:val="0"/>
          <w:bCs w:val="0"/>
          <w:sz w:val="23"/>
          <w:szCs w:val="22"/>
          <w:u w:val="none"/>
        </w:rPr>
        <w:t xml:space="preserve">                       </w:t>
      </w:r>
      <w:r w:rsidRPr="00E041A1">
        <w:rPr>
          <w:b w:val="0"/>
          <w:bCs w:val="0"/>
          <w:sz w:val="23"/>
          <w:szCs w:val="22"/>
          <w:u w:val="none"/>
        </w:rPr>
        <w:br/>
        <w:t xml:space="preserve">                   from the Gibiel reserve associated with mean monthly air</w:t>
      </w:r>
      <w:r w:rsidRPr="00E041A1">
        <w:rPr>
          <w:b w:val="0"/>
          <w:bCs w:val="0"/>
          <w:sz w:val="23"/>
          <w:szCs w:val="22"/>
          <w:u w:val="none"/>
        </w:rPr>
        <w:br/>
        <w:t xml:space="preserve">                   temperatures and monthly precipitation rates</w:t>
      </w:r>
    </w:p>
    <w:p w:rsidR="00E041A1" w:rsidRDefault="00E041A1" w:rsidP="00E041A1">
      <w:pPr>
        <w:rPr>
          <w:rFonts w:ascii="Arial" w:hAnsi="Arial" w:cs="Arial"/>
          <w:sz w:val="23"/>
          <w:szCs w:val="22"/>
        </w:rPr>
      </w:pPr>
      <w:r>
        <w:rPr>
          <w:rFonts w:ascii="Arial" w:hAnsi="Arial" w:cs="Arial"/>
          <w:b/>
          <w:bCs/>
          <w:sz w:val="23"/>
          <w:szCs w:val="22"/>
        </w:rPr>
        <w:t>Figure 3.0</w:t>
      </w:r>
      <w:r>
        <w:rPr>
          <w:rFonts w:ascii="Arial" w:hAnsi="Arial" w:cs="Arial"/>
          <w:sz w:val="23"/>
          <w:szCs w:val="22"/>
        </w:rPr>
        <w:t xml:space="preserve">: Map of Priestley Clough Woodland – the study site                               </w:t>
      </w:r>
    </w:p>
    <w:p w:rsidR="00E041A1" w:rsidRDefault="00E041A1" w:rsidP="00E041A1">
      <w:pPr>
        <w:rPr>
          <w:rFonts w:ascii="Arial" w:hAnsi="Arial" w:cs="Arial"/>
          <w:sz w:val="23"/>
          <w:szCs w:val="22"/>
        </w:rPr>
      </w:pPr>
      <w:r>
        <w:rPr>
          <w:rFonts w:ascii="Arial" w:hAnsi="Arial" w:cs="Arial"/>
          <w:b/>
          <w:bCs/>
          <w:sz w:val="23"/>
          <w:szCs w:val="22"/>
        </w:rPr>
        <w:t>Figure 3.1</w:t>
      </w:r>
      <w:r>
        <w:rPr>
          <w:rFonts w:ascii="Arial" w:hAnsi="Arial" w:cs="Arial"/>
          <w:sz w:val="23"/>
          <w:szCs w:val="22"/>
        </w:rPr>
        <w:t xml:space="preserve">: Map of Priestley Clough – the study site                                                </w:t>
      </w:r>
    </w:p>
    <w:p w:rsidR="00E041A1" w:rsidRDefault="00E041A1" w:rsidP="00E041A1">
      <w:pPr>
        <w:rPr>
          <w:rFonts w:ascii="Arial" w:hAnsi="Arial" w:cs="Arial"/>
          <w:sz w:val="23"/>
          <w:szCs w:val="22"/>
        </w:rPr>
      </w:pPr>
      <w:r>
        <w:rPr>
          <w:rFonts w:ascii="Arial" w:hAnsi="Arial" w:cs="Arial"/>
          <w:b/>
          <w:bCs/>
          <w:sz w:val="23"/>
          <w:szCs w:val="22"/>
        </w:rPr>
        <w:t>Figure 3.2</w:t>
      </w:r>
      <w:r>
        <w:rPr>
          <w:rFonts w:ascii="Arial" w:hAnsi="Arial" w:cs="Arial"/>
          <w:sz w:val="23"/>
          <w:szCs w:val="22"/>
        </w:rPr>
        <w:t xml:space="preserve"> (located in Appendix C): The components that make up                       </w:t>
      </w:r>
      <w:r>
        <w:rPr>
          <w:rFonts w:ascii="Arial" w:hAnsi="Arial" w:cs="Arial"/>
          <w:sz w:val="23"/>
          <w:szCs w:val="22"/>
        </w:rPr>
        <w:br/>
        <w:t xml:space="preserve">                   an increment borer</w:t>
      </w:r>
    </w:p>
    <w:p w:rsidR="00E041A1" w:rsidRDefault="00E041A1" w:rsidP="00E041A1">
      <w:pPr>
        <w:rPr>
          <w:rFonts w:ascii="Arial" w:hAnsi="Arial" w:cs="Arial"/>
          <w:sz w:val="23"/>
          <w:szCs w:val="22"/>
        </w:rPr>
      </w:pPr>
      <w:r>
        <w:rPr>
          <w:rFonts w:ascii="Arial" w:hAnsi="Arial" w:cs="Arial"/>
          <w:b/>
          <w:bCs/>
          <w:sz w:val="23"/>
          <w:szCs w:val="22"/>
        </w:rPr>
        <w:t>Figure 3.3</w:t>
      </w:r>
      <w:r>
        <w:rPr>
          <w:rFonts w:ascii="Arial" w:hAnsi="Arial" w:cs="Arial"/>
          <w:sz w:val="23"/>
          <w:szCs w:val="22"/>
        </w:rPr>
        <w:t xml:space="preserve"> (located in Appendix C): A constructed increment borer                        </w:t>
      </w:r>
    </w:p>
    <w:p w:rsidR="00E041A1" w:rsidRDefault="00E041A1" w:rsidP="00E041A1">
      <w:pPr>
        <w:rPr>
          <w:rFonts w:ascii="Arial" w:hAnsi="Arial" w:cs="Arial"/>
          <w:sz w:val="23"/>
          <w:szCs w:val="22"/>
        </w:rPr>
      </w:pPr>
      <w:r>
        <w:rPr>
          <w:rFonts w:ascii="Arial" w:hAnsi="Arial" w:cs="Arial"/>
          <w:b/>
          <w:bCs/>
          <w:sz w:val="23"/>
          <w:szCs w:val="22"/>
        </w:rPr>
        <w:t>Figure 3.4</w:t>
      </w:r>
      <w:r>
        <w:rPr>
          <w:rFonts w:ascii="Arial" w:hAnsi="Arial" w:cs="Arial"/>
          <w:sz w:val="23"/>
          <w:szCs w:val="22"/>
        </w:rPr>
        <w:t xml:space="preserve">: Cross-sectional view of a tree ring showing the earlywood                    </w:t>
      </w:r>
      <w:r>
        <w:rPr>
          <w:rFonts w:ascii="Arial" w:hAnsi="Arial" w:cs="Arial"/>
          <w:sz w:val="23"/>
          <w:szCs w:val="22"/>
        </w:rPr>
        <w:br/>
        <w:t xml:space="preserve">                   and latewood</w:t>
      </w:r>
    </w:p>
    <w:p w:rsidR="00E041A1" w:rsidRDefault="00E041A1" w:rsidP="00E041A1">
      <w:pPr>
        <w:rPr>
          <w:rFonts w:ascii="Arial" w:hAnsi="Arial" w:cs="Arial"/>
          <w:sz w:val="23"/>
          <w:szCs w:val="22"/>
        </w:rPr>
      </w:pPr>
      <w:r>
        <w:rPr>
          <w:rFonts w:ascii="Arial" w:hAnsi="Arial" w:cs="Arial"/>
          <w:b/>
          <w:bCs/>
          <w:sz w:val="23"/>
          <w:szCs w:val="22"/>
        </w:rPr>
        <w:t>Figure 3.5</w:t>
      </w:r>
      <w:r>
        <w:rPr>
          <w:rFonts w:ascii="Arial" w:hAnsi="Arial" w:cs="Arial"/>
          <w:sz w:val="23"/>
          <w:szCs w:val="22"/>
        </w:rPr>
        <w:t xml:space="preserve">: The importance of coring to the pith of a tree and what this                   </w:t>
      </w:r>
      <w:r>
        <w:rPr>
          <w:rFonts w:ascii="Arial" w:hAnsi="Arial" w:cs="Arial"/>
          <w:sz w:val="23"/>
          <w:szCs w:val="22"/>
        </w:rPr>
        <w:br/>
        <w:t xml:space="preserve">                    looks like in the tree core sample</w:t>
      </w:r>
    </w:p>
    <w:p w:rsidR="00E041A1" w:rsidRDefault="00E041A1" w:rsidP="00E041A1">
      <w:pPr>
        <w:rPr>
          <w:rFonts w:ascii="Arial" w:hAnsi="Arial" w:cs="Arial"/>
          <w:sz w:val="23"/>
          <w:szCs w:val="22"/>
        </w:rPr>
      </w:pPr>
      <w:r>
        <w:rPr>
          <w:rFonts w:ascii="Arial" w:hAnsi="Arial" w:cs="Arial"/>
          <w:b/>
          <w:bCs/>
          <w:sz w:val="23"/>
          <w:szCs w:val="22"/>
        </w:rPr>
        <w:t>Figure 3.6</w:t>
      </w:r>
      <w:r>
        <w:rPr>
          <w:rFonts w:ascii="Arial" w:hAnsi="Arial" w:cs="Arial"/>
          <w:sz w:val="23"/>
          <w:szCs w:val="22"/>
        </w:rPr>
        <w:t xml:space="preserve">: Coring at breast height                                                                           </w:t>
      </w:r>
      <w:r>
        <w:rPr>
          <w:rFonts w:ascii="Arial" w:hAnsi="Arial" w:cs="Arial"/>
          <w:sz w:val="23"/>
          <w:szCs w:val="22"/>
        </w:rPr>
        <w:br/>
      </w:r>
      <w:r>
        <w:rPr>
          <w:rFonts w:ascii="Arial" w:hAnsi="Arial" w:cs="Arial"/>
          <w:b/>
          <w:bCs/>
          <w:sz w:val="23"/>
          <w:szCs w:val="22"/>
        </w:rPr>
        <w:t>Figure 3.7</w:t>
      </w:r>
      <w:r>
        <w:rPr>
          <w:rFonts w:ascii="Arial" w:hAnsi="Arial" w:cs="Arial"/>
          <w:sz w:val="23"/>
          <w:szCs w:val="22"/>
        </w:rPr>
        <w:t xml:space="preserve">: Tree core sample                                                                                    </w:t>
      </w:r>
    </w:p>
    <w:p w:rsidR="00E041A1" w:rsidRDefault="00E041A1" w:rsidP="00E041A1">
      <w:pPr>
        <w:rPr>
          <w:rFonts w:ascii="Arial" w:hAnsi="Arial" w:cs="Arial"/>
          <w:sz w:val="23"/>
          <w:szCs w:val="22"/>
        </w:rPr>
      </w:pPr>
      <w:r>
        <w:rPr>
          <w:rFonts w:ascii="Arial" w:hAnsi="Arial" w:cs="Arial"/>
          <w:b/>
          <w:bCs/>
          <w:sz w:val="23"/>
          <w:szCs w:val="22"/>
        </w:rPr>
        <w:t>Figure 4.0</w:t>
      </w:r>
      <w:r>
        <w:rPr>
          <w:rFonts w:ascii="Arial" w:hAnsi="Arial" w:cs="Arial"/>
          <w:sz w:val="23"/>
          <w:szCs w:val="22"/>
        </w:rPr>
        <w:t xml:space="preserve">: Average Sycamore ring widths for Priestley Clough                              </w:t>
      </w:r>
      <w:r>
        <w:rPr>
          <w:rFonts w:ascii="Arial" w:hAnsi="Arial" w:cs="Arial"/>
          <w:sz w:val="23"/>
          <w:szCs w:val="22"/>
        </w:rPr>
        <w:br/>
        <w:t xml:space="preserve">                   (1972-2012)</w:t>
      </w:r>
    </w:p>
    <w:p w:rsidR="00E041A1" w:rsidRDefault="00E041A1" w:rsidP="00E041A1">
      <w:pPr>
        <w:rPr>
          <w:rFonts w:ascii="Arial" w:hAnsi="Arial" w:cs="Arial"/>
          <w:sz w:val="23"/>
          <w:szCs w:val="22"/>
        </w:rPr>
      </w:pPr>
      <w:r>
        <w:rPr>
          <w:rFonts w:ascii="Arial" w:hAnsi="Arial" w:cs="Arial"/>
          <w:b/>
          <w:bCs/>
          <w:sz w:val="23"/>
          <w:szCs w:val="22"/>
        </w:rPr>
        <w:t>Figure 4.1</w:t>
      </w:r>
      <w:r>
        <w:rPr>
          <w:rFonts w:ascii="Arial" w:hAnsi="Arial" w:cs="Arial"/>
          <w:sz w:val="23"/>
          <w:szCs w:val="22"/>
        </w:rPr>
        <w:t xml:space="preserve">: Average Beech ring widths for Priestley Clough                                    </w:t>
      </w:r>
      <w:r>
        <w:rPr>
          <w:rFonts w:ascii="Arial" w:hAnsi="Arial" w:cs="Arial"/>
          <w:sz w:val="23"/>
          <w:szCs w:val="22"/>
        </w:rPr>
        <w:br/>
        <w:t xml:space="preserve">                   (1972-2012)</w:t>
      </w:r>
    </w:p>
    <w:p w:rsidR="00E041A1" w:rsidRDefault="00E041A1" w:rsidP="00E041A1">
      <w:pPr>
        <w:rPr>
          <w:rFonts w:ascii="Arial" w:hAnsi="Arial" w:cs="Arial"/>
          <w:sz w:val="23"/>
          <w:szCs w:val="22"/>
        </w:rPr>
      </w:pPr>
      <w:r>
        <w:rPr>
          <w:rFonts w:ascii="Arial" w:hAnsi="Arial" w:cs="Arial"/>
          <w:b/>
          <w:bCs/>
          <w:sz w:val="23"/>
          <w:szCs w:val="22"/>
        </w:rPr>
        <w:t>Figure 4.2</w:t>
      </w:r>
      <w:r>
        <w:rPr>
          <w:rFonts w:ascii="Arial" w:hAnsi="Arial" w:cs="Arial"/>
          <w:sz w:val="23"/>
          <w:szCs w:val="22"/>
        </w:rPr>
        <w:t xml:space="preserve">: Average Oak ring widths for Priestley Clough (1972-2012)                   </w:t>
      </w:r>
    </w:p>
    <w:p w:rsidR="00E041A1" w:rsidRDefault="00E041A1" w:rsidP="00E041A1">
      <w:pPr>
        <w:rPr>
          <w:rFonts w:ascii="Arial" w:hAnsi="Arial" w:cs="Arial"/>
          <w:sz w:val="23"/>
          <w:szCs w:val="22"/>
        </w:rPr>
      </w:pPr>
      <w:r>
        <w:rPr>
          <w:rFonts w:ascii="Arial" w:hAnsi="Arial" w:cs="Arial"/>
          <w:b/>
          <w:bCs/>
          <w:sz w:val="23"/>
          <w:szCs w:val="22"/>
        </w:rPr>
        <w:t>Figure 4.3</w:t>
      </w:r>
      <w:r>
        <w:rPr>
          <w:rFonts w:ascii="Arial" w:hAnsi="Arial" w:cs="Arial"/>
          <w:sz w:val="23"/>
          <w:szCs w:val="22"/>
        </w:rPr>
        <w:t xml:space="preserve">: Average Sycamore, Beech and Oak ring widths for                               </w:t>
      </w:r>
      <w:r>
        <w:rPr>
          <w:rFonts w:ascii="Arial" w:hAnsi="Arial" w:cs="Arial"/>
          <w:sz w:val="23"/>
          <w:szCs w:val="22"/>
        </w:rPr>
        <w:br/>
        <w:t xml:space="preserve">                   Priestley Clough (1972-2012)</w:t>
      </w:r>
    </w:p>
    <w:p w:rsidR="00E041A1" w:rsidRDefault="00E041A1" w:rsidP="00E041A1">
      <w:pPr>
        <w:rPr>
          <w:rFonts w:ascii="Arial" w:hAnsi="Arial" w:cs="Arial"/>
          <w:sz w:val="23"/>
          <w:szCs w:val="22"/>
        </w:rPr>
      </w:pPr>
      <w:r>
        <w:rPr>
          <w:rFonts w:ascii="Arial" w:hAnsi="Arial" w:cs="Arial"/>
          <w:b/>
          <w:bCs/>
          <w:sz w:val="23"/>
          <w:szCs w:val="22"/>
        </w:rPr>
        <w:t>Figure 4.4</w:t>
      </w:r>
      <w:r>
        <w:rPr>
          <w:rFonts w:ascii="Arial" w:hAnsi="Arial" w:cs="Arial"/>
          <w:sz w:val="23"/>
          <w:szCs w:val="22"/>
        </w:rPr>
        <w:t xml:space="preserve">: The annual precipitation levels (mm) between 1972 and                       </w:t>
      </w:r>
      <w:r>
        <w:rPr>
          <w:rFonts w:ascii="Arial" w:hAnsi="Arial" w:cs="Arial"/>
          <w:sz w:val="23"/>
          <w:szCs w:val="22"/>
        </w:rPr>
        <w:br/>
        <w:t xml:space="preserve">                    2012</w:t>
      </w:r>
    </w:p>
    <w:p w:rsidR="00E041A1" w:rsidRDefault="00E041A1" w:rsidP="00E041A1">
      <w:pPr>
        <w:rPr>
          <w:rFonts w:ascii="Arial" w:hAnsi="Arial" w:cs="Arial"/>
          <w:sz w:val="23"/>
          <w:szCs w:val="22"/>
        </w:rPr>
      </w:pPr>
      <w:r>
        <w:rPr>
          <w:rFonts w:ascii="Arial" w:hAnsi="Arial" w:cs="Arial"/>
          <w:b/>
          <w:bCs/>
          <w:sz w:val="23"/>
          <w:szCs w:val="22"/>
        </w:rPr>
        <w:t>Figure 4.5</w:t>
      </w:r>
      <w:r>
        <w:rPr>
          <w:rFonts w:ascii="Arial" w:hAnsi="Arial" w:cs="Arial"/>
          <w:sz w:val="23"/>
          <w:szCs w:val="22"/>
        </w:rPr>
        <w:t xml:space="preserve">: The annual average temperature (ºC) between 1972                            </w:t>
      </w:r>
      <w:r>
        <w:rPr>
          <w:rFonts w:ascii="Arial" w:hAnsi="Arial" w:cs="Arial"/>
          <w:sz w:val="23"/>
          <w:szCs w:val="22"/>
        </w:rPr>
        <w:br/>
        <w:t xml:space="preserve">                    and 2012</w:t>
      </w:r>
    </w:p>
    <w:p w:rsidR="00E041A1" w:rsidRDefault="00E041A1" w:rsidP="00E041A1">
      <w:pPr>
        <w:rPr>
          <w:rFonts w:ascii="Arial" w:hAnsi="Arial" w:cs="Arial"/>
          <w:sz w:val="23"/>
          <w:szCs w:val="22"/>
        </w:rPr>
      </w:pPr>
      <w:r>
        <w:rPr>
          <w:rFonts w:ascii="Arial" w:hAnsi="Arial" w:cs="Arial"/>
          <w:b/>
          <w:bCs/>
          <w:sz w:val="23"/>
          <w:szCs w:val="22"/>
        </w:rPr>
        <w:t>Figure 4.6</w:t>
      </w:r>
      <w:r>
        <w:rPr>
          <w:rFonts w:ascii="Arial" w:hAnsi="Arial" w:cs="Arial"/>
          <w:sz w:val="23"/>
          <w:szCs w:val="22"/>
        </w:rPr>
        <w:t xml:space="preserve"> (located in Appendix F): The annual precipitation levels                       </w:t>
      </w:r>
      <w:r>
        <w:rPr>
          <w:rFonts w:ascii="Arial" w:hAnsi="Arial" w:cs="Arial"/>
          <w:sz w:val="23"/>
          <w:szCs w:val="22"/>
        </w:rPr>
        <w:br/>
        <w:t xml:space="preserve">                   (mm) Vs the annual average temperature (ºC) between </w:t>
      </w:r>
      <w:r>
        <w:rPr>
          <w:rFonts w:ascii="Arial" w:hAnsi="Arial" w:cs="Arial"/>
          <w:sz w:val="23"/>
          <w:szCs w:val="22"/>
        </w:rPr>
        <w:br/>
        <w:t xml:space="preserve">                   1972 and 2012</w:t>
      </w:r>
    </w:p>
    <w:p w:rsidR="00E041A1" w:rsidRDefault="00E041A1" w:rsidP="00E041A1">
      <w:pPr>
        <w:rPr>
          <w:rFonts w:ascii="Arial" w:hAnsi="Arial" w:cs="Arial"/>
          <w:sz w:val="23"/>
          <w:szCs w:val="22"/>
        </w:rPr>
      </w:pPr>
      <w:r>
        <w:rPr>
          <w:rFonts w:ascii="Arial" w:hAnsi="Arial" w:cs="Arial"/>
          <w:b/>
          <w:bCs/>
          <w:sz w:val="23"/>
          <w:szCs w:val="22"/>
        </w:rPr>
        <w:t>Figure 4.7</w:t>
      </w:r>
      <w:r>
        <w:rPr>
          <w:rFonts w:ascii="Arial" w:hAnsi="Arial" w:cs="Arial"/>
          <w:sz w:val="23"/>
          <w:szCs w:val="22"/>
        </w:rPr>
        <w:t xml:space="preserve"> (located in Appendix F): Scatter graph showing the annual                 </w:t>
      </w:r>
      <w:r>
        <w:rPr>
          <w:rFonts w:ascii="Arial" w:hAnsi="Arial" w:cs="Arial"/>
          <w:sz w:val="23"/>
          <w:szCs w:val="22"/>
        </w:rPr>
        <w:br/>
        <w:t xml:space="preserve">                   average temperature (ºC) Vs the annual precipitation </w:t>
      </w:r>
      <w:r>
        <w:rPr>
          <w:rFonts w:ascii="Arial" w:hAnsi="Arial" w:cs="Arial"/>
          <w:sz w:val="23"/>
          <w:szCs w:val="22"/>
        </w:rPr>
        <w:br/>
        <w:t xml:space="preserve">                   levels (mm)</w:t>
      </w:r>
    </w:p>
    <w:p w:rsidR="00E041A1" w:rsidRDefault="00E041A1" w:rsidP="00E041A1">
      <w:pPr>
        <w:rPr>
          <w:rFonts w:ascii="Arial" w:hAnsi="Arial" w:cs="Arial"/>
          <w:sz w:val="23"/>
          <w:szCs w:val="22"/>
        </w:rPr>
      </w:pPr>
      <w:r>
        <w:rPr>
          <w:rFonts w:ascii="Arial" w:hAnsi="Arial" w:cs="Arial"/>
          <w:b/>
          <w:bCs/>
          <w:sz w:val="23"/>
          <w:szCs w:val="22"/>
        </w:rPr>
        <w:t>Figure 4.8</w:t>
      </w:r>
      <w:r>
        <w:rPr>
          <w:rFonts w:ascii="Arial" w:hAnsi="Arial" w:cs="Arial"/>
          <w:sz w:val="23"/>
          <w:szCs w:val="22"/>
        </w:rPr>
        <w:t xml:space="preserve">: The annual precipitation (mm) Vs the average Sycamore                     </w:t>
      </w:r>
      <w:r>
        <w:rPr>
          <w:rFonts w:ascii="Arial" w:hAnsi="Arial" w:cs="Arial"/>
          <w:sz w:val="23"/>
          <w:szCs w:val="22"/>
        </w:rPr>
        <w:br/>
        <w:t xml:space="preserve">                   ring widths (mm) between 1972 and 2012</w:t>
      </w:r>
    </w:p>
    <w:p w:rsidR="00E041A1" w:rsidRDefault="00E041A1" w:rsidP="00E041A1">
      <w:pPr>
        <w:rPr>
          <w:rFonts w:ascii="Arial" w:hAnsi="Arial" w:cs="Arial"/>
          <w:sz w:val="23"/>
          <w:szCs w:val="22"/>
        </w:rPr>
      </w:pPr>
      <w:r>
        <w:rPr>
          <w:rFonts w:ascii="Arial" w:hAnsi="Arial" w:cs="Arial"/>
          <w:b/>
          <w:bCs/>
          <w:sz w:val="23"/>
          <w:szCs w:val="22"/>
        </w:rPr>
        <w:t>Figure 4.9</w:t>
      </w:r>
      <w:r>
        <w:rPr>
          <w:rFonts w:ascii="Arial" w:hAnsi="Arial" w:cs="Arial"/>
          <w:sz w:val="23"/>
          <w:szCs w:val="22"/>
        </w:rPr>
        <w:t xml:space="preserve">: Scatter graph showing the average Sycamore ring widths                    </w:t>
      </w:r>
      <w:r>
        <w:rPr>
          <w:rFonts w:ascii="Arial" w:hAnsi="Arial" w:cs="Arial"/>
          <w:sz w:val="23"/>
          <w:szCs w:val="22"/>
        </w:rPr>
        <w:br/>
        <w:t xml:space="preserve">                   (mm) Vs the annual precipitation levels (mm)</w:t>
      </w:r>
    </w:p>
    <w:p w:rsidR="00E041A1" w:rsidRDefault="00E041A1" w:rsidP="00E041A1">
      <w:pPr>
        <w:rPr>
          <w:rFonts w:ascii="Arial" w:hAnsi="Arial" w:cs="Arial"/>
          <w:sz w:val="23"/>
          <w:szCs w:val="22"/>
        </w:rPr>
      </w:pPr>
      <w:r>
        <w:rPr>
          <w:rFonts w:ascii="Arial" w:hAnsi="Arial" w:cs="Arial"/>
          <w:b/>
          <w:bCs/>
          <w:sz w:val="23"/>
          <w:szCs w:val="22"/>
        </w:rPr>
        <w:t>Figure 4.10</w:t>
      </w:r>
      <w:r>
        <w:rPr>
          <w:rFonts w:ascii="Arial" w:hAnsi="Arial" w:cs="Arial"/>
          <w:sz w:val="23"/>
          <w:szCs w:val="22"/>
        </w:rPr>
        <w:t xml:space="preserve">: The annual precipitation (mm) Vs the average Beech                         </w:t>
      </w:r>
      <w:r>
        <w:rPr>
          <w:rFonts w:ascii="Arial" w:hAnsi="Arial" w:cs="Arial"/>
          <w:sz w:val="23"/>
          <w:szCs w:val="22"/>
        </w:rPr>
        <w:br/>
        <w:t xml:space="preserve">                     ring widths (mm) between 1972 and 2012</w:t>
      </w:r>
    </w:p>
    <w:p w:rsidR="00E041A1" w:rsidRDefault="00E041A1" w:rsidP="00E041A1">
      <w:pPr>
        <w:rPr>
          <w:rFonts w:ascii="Arial" w:hAnsi="Arial" w:cs="Arial"/>
          <w:sz w:val="23"/>
          <w:szCs w:val="22"/>
        </w:rPr>
      </w:pPr>
      <w:r>
        <w:rPr>
          <w:rFonts w:ascii="Arial" w:hAnsi="Arial" w:cs="Arial"/>
          <w:b/>
          <w:bCs/>
          <w:sz w:val="23"/>
          <w:szCs w:val="22"/>
        </w:rPr>
        <w:t>Figure 4.11</w:t>
      </w:r>
      <w:r>
        <w:rPr>
          <w:rFonts w:ascii="Arial" w:hAnsi="Arial" w:cs="Arial"/>
          <w:sz w:val="23"/>
          <w:szCs w:val="22"/>
        </w:rPr>
        <w:t xml:space="preserve">: Scatter graph showing the average Beech ring widths                        </w:t>
      </w:r>
      <w:r>
        <w:rPr>
          <w:rFonts w:ascii="Arial" w:hAnsi="Arial" w:cs="Arial"/>
          <w:sz w:val="23"/>
          <w:szCs w:val="22"/>
        </w:rPr>
        <w:br/>
        <w:t xml:space="preserve">                     (mm) Vs the annual precipitation levels (mm)</w:t>
      </w:r>
    </w:p>
    <w:p w:rsidR="00E041A1" w:rsidRDefault="00E041A1" w:rsidP="00E041A1">
      <w:pPr>
        <w:rPr>
          <w:rFonts w:ascii="Arial" w:hAnsi="Arial" w:cs="Arial"/>
          <w:sz w:val="23"/>
          <w:szCs w:val="22"/>
        </w:rPr>
      </w:pPr>
      <w:r>
        <w:rPr>
          <w:rFonts w:ascii="Arial" w:hAnsi="Arial" w:cs="Arial"/>
          <w:b/>
          <w:bCs/>
          <w:sz w:val="23"/>
          <w:szCs w:val="22"/>
        </w:rPr>
        <w:t>Figure 4.12</w:t>
      </w:r>
      <w:r>
        <w:rPr>
          <w:rFonts w:ascii="Arial" w:hAnsi="Arial" w:cs="Arial"/>
          <w:sz w:val="23"/>
          <w:szCs w:val="22"/>
        </w:rPr>
        <w:t xml:space="preserve">: The annual precipitation (mm) Vs the average Oak ring                      </w:t>
      </w:r>
      <w:r>
        <w:rPr>
          <w:rFonts w:ascii="Arial" w:hAnsi="Arial" w:cs="Arial"/>
          <w:sz w:val="23"/>
          <w:szCs w:val="22"/>
        </w:rPr>
        <w:br/>
        <w:t xml:space="preserve">                      widths (mm) between 1972 and 2012</w:t>
      </w:r>
    </w:p>
    <w:p w:rsidR="00E041A1" w:rsidRDefault="00E041A1" w:rsidP="00E041A1"/>
    <w:p w:rsidR="00E041A1" w:rsidRDefault="00E041A1">
      <w:pPr>
        <w:jc w:val="both"/>
        <w:rPr>
          <w:rFonts w:ascii="Arial" w:hAnsi="Arial" w:cs="Arial"/>
          <w:sz w:val="28"/>
        </w:rPr>
      </w:pPr>
    </w:p>
    <w:p w:rsidR="006038B0" w:rsidRDefault="006038B0" w:rsidP="006038B0"/>
    <w:tbl>
      <w:tblPr>
        <w:tblpPr w:leftFromText="180" w:rightFromText="180" w:vertAnchor="text" w:tblpX="7909" w:tblpY="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40"/>
      </w:tblGrid>
      <w:tr w:rsidR="006038B0">
        <w:tblPrEx>
          <w:tblCellMar>
            <w:top w:w="0" w:type="dxa"/>
            <w:bottom w:w="0" w:type="dxa"/>
          </w:tblCellMar>
        </w:tblPrEx>
        <w:trPr>
          <w:trHeight w:val="11700"/>
        </w:trPr>
        <w:tc>
          <w:tcPr>
            <w:tcW w:w="840" w:type="dxa"/>
            <w:tcBorders>
              <w:top w:val="nil"/>
              <w:left w:val="nil"/>
              <w:bottom w:val="nil"/>
              <w:right w:val="nil"/>
            </w:tcBorders>
          </w:tcPr>
          <w:p w:rsidR="006038B0" w:rsidRDefault="006038B0" w:rsidP="00B128A1">
            <w:pPr>
              <w:jc w:val="center"/>
              <w:rPr>
                <w:rFonts w:ascii="Arial" w:hAnsi="Arial" w:cs="Arial"/>
                <w:b/>
                <w:bCs/>
                <w:sz w:val="23"/>
                <w:szCs w:val="22"/>
              </w:rPr>
            </w:pPr>
            <w:r>
              <w:rPr>
                <w:rFonts w:ascii="Arial" w:hAnsi="Arial" w:cs="Arial"/>
                <w:b/>
                <w:bCs/>
                <w:sz w:val="23"/>
                <w:szCs w:val="22"/>
              </w:rPr>
              <w:t>45</w:t>
            </w:r>
          </w:p>
          <w:p w:rsidR="006038B0" w:rsidRPr="006A6444" w:rsidRDefault="006038B0" w:rsidP="00B128A1">
            <w:pPr>
              <w:jc w:val="center"/>
              <w:rPr>
                <w:rFonts w:ascii="Arial" w:hAnsi="Arial" w:cs="Arial"/>
                <w:b/>
                <w:bCs/>
              </w:rPr>
            </w:pPr>
          </w:p>
          <w:p w:rsidR="006038B0" w:rsidRDefault="006038B0" w:rsidP="00B128A1">
            <w:pPr>
              <w:jc w:val="center"/>
              <w:rPr>
                <w:rFonts w:ascii="Arial" w:hAnsi="Arial" w:cs="Arial"/>
                <w:b/>
                <w:bCs/>
                <w:sz w:val="23"/>
                <w:szCs w:val="22"/>
              </w:rPr>
            </w:pPr>
            <w:r>
              <w:rPr>
                <w:rFonts w:ascii="Arial" w:hAnsi="Arial" w:cs="Arial"/>
                <w:b/>
                <w:bCs/>
                <w:sz w:val="23"/>
                <w:szCs w:val="22"/>
              </w:rPr>
              <w:t>46</w:t>
            </w:r>
          </w:p>
          <w:p w:rsidR="006038B0" w:rsidRDefault="006038B0" w:rsidP="00B128A1">
            <w:pPr>
              <w:jc w:val="center"/>
              <w:rPr>
                <w:rFonts w:ascii="Arial" w:hAnsi="Arial" w:cs="Arial"/>
                <w:b/>
                <w:bCs/>
                <w:sz w:val="23"/>
                <w:szCs w:val="22"/>
              </w:rPr>
            </w:pPr>
          </w:p>
          <w:p w:rsidR="006038B0" w:rsidRDefault="006038B0" w:rsidP="00B128A1">
            <w:pPr>
              <w:jc w:val="center"/>
              <w:rPr>
                <w:rFonts w:ascii="Arial" w:hAnsi="Arial" w:cs="Arial"/>
                <w:b/>
                <w:bCs/>
                <w:sz w:val="23"/>
                <w:szCs w:val="22"/>
              </w:rPr>
            </w:pPr>
            <w:r>
              <w:rPr>
                <w:rFonts w:ascii="Arial" w:hAnsi="Arial" w:cs="Arial"/>
                <w:b/>
                <w:bCs/>
                <w:sz w:val="23"/>
                <w:szCs w:val="22"/>
              </w:rPr>
              <w:t>47</w:t>
            </w:r>
          </w:p>
          <w:p w:rsidR="006038B0" w:rsidRDefault="006038B0" w:rsidP="00B128A1">
            <w:pPr>
              <w:jc w:val="center"/>
              <w:rPr>
                <w:rFonts w:ascii="Arial" w:hAnsi="Arial" w:cs="Arial"/>
                <w:b/>
                <w:bCs/>
                <w:sz w:val="23"/>
                <w:szCs w:val="22"/>
              </w:rPr>
            </w:pPr>
          </w:p>
          <w:p w:rsidR="006038B0" w:rsidRDefault="006038B0" w:rsidP="00B128A1">
            <w:pPr>
              <w:jc w:val="center"/>
              <w:rPr>
                <w:rFonts w:ascii="Arial" w:hAnsi="Arial" w:cs="Arial"/>
                <w:b/>
                <w:bCs/>
                <w:sz w:val="23"/>
                <w:szCs w:val="22"/>
              </w:rPr>
            </w:pPr>
            <w:r>
              <w:rPr>
                <w:rFonts w:ascii="Arial" w:hAnsi="Arial" w:cs="Arial"/>
                <w:b/>
                <w:bCs/>
                <w:sz w:val="23"/>
                <w:szCs w:val="22"/>
              </w:rPr>
              <w:t>48</w:t>
            </w:r>
          </w:p>
          <w:p w:rsidR="006038B0" w:rsidRDefault="006038B0" w:rsidP="00B128A1">
            <w:pPr>
              <w:jc w:val="center"/>
              <w:rPr>
                <w:rFonts w:ascii="Arial" w:hAnsi="Arial" w:cs="Arial"/>
                <w:b/>
                <w:bCs/>
                <w:sz w:val="23"/>
                <w:szCs w:val="22"/>
              </w:rPr>
            </w:pPr>
          </w:p>
          <w:p w:rsidR="006038B0" w:rsidRDefault="006038B0" w:rsidP="00B128A1">
            <w:pPr>
              <w:jc w:val="center"/>
              <w:rPr>
                <w:rFonts w:ascii="Arial" w:hAnsi="Arial" w:cs="Arial"/>
                <w:b/>
                <w:bCs/>
                <w:sz w:val="23"/>
                <w:szCs w:val="22"/>
              </w:rPr>
            </w:pPr>
            <w:r>
              <w:rPr>
                <w:rFonts w:ascii="Arial" w:hAnsi="Arial" w:cs="Arial"/>
                <w:b/>
                <w:bCs/>
                <w:sz w:val="23"/>
                <w:szCs w:val="22"/>
              </w:rPr>
              <w:t>50</w:t>
            </w:r>
          </w:p>
          <w:p w:rsidR="006038B0" w:rsidRDefault="006038B0" w:rsidP="00B128A1">
            <w:pPr>
              <w:jc w:val="center"/>
              <w:rPr>
                <w:rFonts w:ascii="Arial" w:hAnsi="Arial" w:cs="Arial"/>
                <w:b/>
                <w:bCs/>
                <w:sz w:val="23"/>
                <w:szCs w:val="22"/>
              </w:rPr>
            </w:pPr>
          </w:p>
          <w:p w:rsidR="006038B0" w:rsidRDefault="006038B0" w:rsidP="00B128A1">
            <w:pPr>
              <w:jc w:val="center"/>
              <w:rPr>
                <w:rFonts w:ascii="Arial" w:hAnsi="Arial" w:cs="Arial"/>
                <w:b/>
                <w:bCs/>
                <w:sz w:val="23"/>
                <w:szCs w:val="22"/>
              </w:rPr>
            </w:pPr>
            <w:r>
              <w:rPr>
                <w:rFonts w:ascii="Arial" w:hAnsi="Arial" w:cs="Arial"/>
                <w:b/>
                <w:bCs/>
                <w:sz w:val="23"/>
                <w:szCs w:val="22"/>
              </w:rPr>
              <w:t>51</w:t>
            </w:r>
          </w:p>
          <w:p w:rsidR="006038B0" w:rsidRDefault="006038B0" w:rsidP="00B128A1">
            <w:pPr>
              <w:jc w:val="center"/>
              <w:rPr>
                <w:rFonts w:ascii="Arial" w:hAnsi="Arial" w:cs="Arial"/>
                <w:b/>
                <w:bCs/>
                <w:sz w:val="23"/>
                <w:szCs w:val="22"/>
              </w:rPr>
            </w:pPr>
          </w:p>
          <w:p w:rsidR="006038B0" w:rsidRDefault="006038B0" w:rsidP="00B128A1">
            <w:pPr>
              <w:jc w:val="center"/>
              <w:rPr>
                <w:rFonts w:ascii="Arial" w:hAnsi="Arial" w:cs="Arial"/>
                <w:b/>
                <w:bCs/>
                <w:sz w:val="23"/>
                <w:szCs w:val="22"/>
              </w:rPr>
            </w:pPr>
            <w:r>
              <w:rPr>
                <w:rFonts w:ascii="Arial" w:hAnsi="Arial" w:cs="Arial"/>
                <w:b/>
                <w:bCs/>
                <w:sz w:val="23"/>
                <w:szCs w:val="22"/>
              </w:rPr>
              <w:t>52</w:t>
            </w:r>
          </w:p>
          <w:p w:rsidR="006038B0" w:rsidRPr="002722AA" w:rsidRDefault="006038B0" w:rsidP="00B128A1">
            <w:pPr>
              <w:jc w:val="center"/>
              <w:rPr>
                <w:rFonts w:ascii="Arial" w:hAnsi="Arial" w:cs="Arial"/>
                <w:b/>
                <w:bCs/>
                <w:sz w:val="23"/>
                <w:szCs w:val="23"/>
              </w:rPr>
            </w:pPr>
          </w:p>
          <w:p w:rsidR="006038B0" w:rsidRDefault="006038B0" w:rsidP="00B128A1">
            <w:pPr>
              <w:jc w:val="center"/>
              <w:rPr>
                <w:rFonts w:ascii="Arial" w:hAnsi="Arial" w:cs="Arial"/>
                <w:b/>
                <w:bCs/>
                <w:sz w:val="23"/>
                <w:szCs w:val="22"/>
              </w:rPr>
            </w:pPr>
            <w:r>
              <w:rPr>
                <w:rFonts w:ascii="Arial" w:hAnsi="Arial" w:cs="Arial"/>
                <w:b/>
                <w:bCs/>
                <w:sz w:val="23"/>
                <w:szCs w:val="22"/>
              </w:rPr>
              <w:t>53</w:t>
            </w:r>
          </w:p>
          <w:p w:rsidR="006038B0" w:rsidRDefault="006038B0" w:rsidP="00B128A1">
            <w:pPr>
              <w:jc w:val="center"/>
              <w:rPr>
                <w:rFonts w:ascii="Arial" w:hAnsi="Arial" w:cs="Arial"/>
                <w:b/>
                <w:bCs/>
                <w:sz w:val="23"/>
                <w:szCs w:val="22"/>
              </w:rPr>
            </w:pPr>
          </w:p>
          <w:p w:rsidR="006038B0" w:rsidRPr="002722AA" w:rsidRDefault="006038B0" w:rsidP="00B128A1">
            <w:pPr>
              <w:jc w:val="center"/>
              <w:rPr>
                <w:rFonts w:ascii="Arial" w:hAnsi="Arial" w:cs="Arial"/>
                <w:b/>
                <w:bCs/>
                <w:sz w:val="21"/>
                <w:szCs w:val="21"/>
              </w:rPr>
            </w:pPr>
          </w:p>
          <w:p w:rsidR="006038B0" w:rsidRDefault="006038B0" w:rsidP="00B128A1">
            <w:pPr>
              <w:jc w:val="center"/>
              <w:rPr>
                <w:rFonts w:ascii="Arial" w:hAnsi="Arial" w:cs="Arial"/>
                <w:b/>
                <w:bCs/>
                <w:sz w:val="23"/>
                <w:szCs w:val="22"/>
              </w:rPr>
            </w:pPr>
            <w:r>
              <w:rPr>
                <w:rFonts w:ascii="Arial" w:hAnsi="Arial" w:cs="Arial"/>
                <w:b/>
                <w:bCs/>
                <w:sz w:val="23"/>
                <w:szCs w:val="22"/>
              </w:rPr>
              <w:t>55</w:t>
            </w:r>
          </w:p>
          <w:p w:rsidR="006038B0" w:rsidRDefault="006038B0" w:rsidP="00B128A1">
            <w:pPr>
              <w:jc w:val="center"/>
              <w:rPr>
                <w:rFonts w:ascii="Arial" w:hAnsi="Arial" w:cs="Arial"/>
                <w:b/>
                <w:bCs/>
                <w:sz w:val="23"/>
                <w:szCs w:val="22"/>
              </w:rPr>
            </w:pPr>
          </w:p>
          <w:p w:rsidR="006038B0" w:rsidRDefault="006038B0" w:rsidP="00B128A1">
            <w:pPr>
              <w:jc w:val="center"/>
              <w:rPr>
                <w:rFonts w:ascii="Arial" w:hAnsi="Arial" w:cs="Arial"/>
                <w:b/>
                <w:bCs/>
                <w:sz w:val="23"/>
                <w:szCs w:val="22"/>
              </w:rPr>
            </w:pPr>
          </w:p>
          <w:p w:rsidR="006038B0" w:rsidRDefault="006038B0" w:rsidP="00B128A1">
            <w:pPr>
              <w:jc w:val="center"/>
              <w:rPr>
                <w:rFonts w:ascii="Arial" w:hAnsi="Arial" w:cs="Arial"/>
                <w:b/>
                <w:bCs/>
                <w:sz w:val="23"/>
                <w:szCs w:val="22"/>
              </w:rPr>
            </w:pPr>
            <w:r>
              <w:rPr>
                <w:rFonts w:ascii="Arial" w:hAnsi="Arial" w:cs="Arial"/>
                <w:b/>
                <w:bCs/>
                <w:sz w:val="23"/>
                <w:szCs w:val="22"/>
              </w:rPr>
              <w:t>57</w:t>
            </w:r>
          </w:p>
          <w:p w:rsidR="006038B0" w:rsidRDefault="006038B0" w:rsidP="00B128A1">
            <w:pPr>
              <w:jc w:val="center"/>
              <w:rPr>
                <w:rFonts w:ascii="Arial" w:hAnsi="Arial" w:cs="Arial"/>
                <w:b/>
                <w:bCs/>
                <w:sz w:val="23"/>
                <w:szCs w:val="22"/>
              </w:rPr>
            </w:pPr>
          </w:p>
          <w:p w:rsidR="006038B0" w:rsidRDefault="006038B0" w:rsidP="00B128A1">
            <w:pPr>
              <w:jc w:val="center"/>
              <w:rPr>
                <w:rFonts w:ascii="Arial" w:hAnsi="Arial" w:cs="Arial"/>
                <w:b/>
                <w:bCs/>
                <w:sz w:val="23"/>
                <w:szCs w:val="22"/>
              </w:rPr>
            </w:pPr>
          </w:p>
          <w:p w:rsidR="006038B0" w:rsidRDefault="006038B0" w:rsidP="00B128A1">
            <w:pPr>
              <w:jc w:val="center"/>
              <w:rPr>
                <w:rFonts w:ascii="Arial" w:hAnsi="Arial" w:cs="Arial"/>
                <w:b/>
                <w:bCs/>
                <w:sz w:val="23"/>
                <w:szCs w:val="22"/>
              </w:rPr>
            </w:pPr>
            <w:r>
              <w:rPr>
                <w:rFonts w:ascii="Arial" w:hAnsi="Arial" w:cs="Arial"/>
                <w:b/>
                <w:bCs/>
                <w:sz w:val="23"/>
                <w:szCs w:val="22"/>
              </w:rPr>
              <w:t>58</w:t>
            </w:r>
          </w:p>
          <w:p w:rsidR="006038B0" w:rsidRDefault="006038B0" w:rsidP="00B128A1">
            <w:pPr>
              <w:jc w:val="center"/>
              <w:rPr>
                <w:rFonts w:ascii="Arial" w:hAnsi="Arial" w:cs="Arial"/>
                <w:b/>
                <w:bCs/>
                <w:sz w:val="23"/>
                <w:szCs w:val="22"/>
              </w:rPr>
            </w:pPr>
          </w:p>
          <w:p w:rsidR="006038B0" w:rsidRDefault="006038B0" w:rsidP="00B128A1">
            <w:pPr>
              <w:jc w:val="center"/>
              <w:rPr>
                <w:rFonts w:ascii="Arial" w:hAnsi="Arial" w:cs="Arial"/>
                <w:b/>
                <w:bCs/>
                <w:sz w:val="23"/>
                <w:szCs w:val="22"/>
              </w:rPr>
            </w:pPr>
            <w:r>
              <w:rPr>
                <w:rFonts w:ascii="Arial" w:hAnsi="Arial" w:cs="Arial"/>
                <w:b/>
                <w:bCs/>
                <w:sz w:val="23"/>
                <w:szCs w:val="22"/>
              </w:rPr>
              <w:t>60</w:t>
            </w:r>
          </w:p>
          <w:p w:rsidR="006038B0" w:rsidRDefault="006038B0" w:rsidP="00B128A1">
            <w:pPr>
              <w:jc w:val="center"/>
              <w:rPr>
                <w:rFonts w:ascii="Arial" w:hAnsi="Arial" w:cs="Arial"/>
                <w:b/>
                <w:bCs/>
                <w:sz w:val="23"/>
                <w:szCs w:val="22"/>
              </w:rPr>
            </w:pPr>
          </w:p>
          <w:p w:rsidR="006038B0" w:rsidRDefault="006038B0" w:rsidP="00B128A1">
            <w:pPr>
              <w:jc w:val="center"/>
              <w:rPr>
                <w:rFonts w:ascii="Arial" w:hAnsi="Arial" w:cs="Arial"/>
                <w:b/>
                <w:bCs/>
                <w:sz w:val="23"/>
                <w:szCs w:val="22"/>
              </w:rPr>
            </w:pPr>
            <w:r>
              <w:rPr>
                <w:rFonts w:ascii="Arial" w:hAnsi="Arial" w:cs="Arial"/>
                <w:b/>
                <w:bCs/>
                <w:sz w:val="23"/>
                <w:szCs w:val="22"/>
              </w:rPr>
              <w:t>61</w:t>
            </w:r>
          </w:p>
          <w:p w:rsidR="006038B0" w:rsidRDefault="006038B0" w:rsidP="00B128A1">
            <w:pPr>
              <w:jc w:val="center"/>
              <w:rPr>
                <w:rFonts w:ascii="Arial" w:hAnsi="Arial" w:cs="Arial"/>
                <w:b/>
                <w:bCs/>
                <w:sz w:val="23"/>
                <w:szCs w:val="22"/>
              </w:rPr>
            </w:pPr>
          </w:p>
          <w:p w:rsidR="006038B0" w:rsidRDefault="006038B0" w:rsidP="00B128A1">
            <w:pPr>
              <w:jc w:val="center"/>
              <w:rPr>
                <w:rFonts w:ascii="Arial" w:hAnsi="Arial" w:cs="Arial"/>
                <w:b/>
                <w:bCs/>
                <w:sz w:val="23"/>
                <w:szCs w:val="22"/>
              </w:rPr>
            </w:pPr>
          </w:p>
          <w:p w:rsidR="006038B0" w:rsidRDefault="006038B0" w:rsidP="00B128A1">
            <w:pPr>
              <w:jc w:val="center"/>
              <w:rPr>
                <w:rFonts w:ascii="Arial" w:hAnsi="Arial" w:cs="Arial"/>
                <w:b/>
                <w:bCs/>
                <w:sz w:val="23"/>
                <w:szCs w:val="22"/>
              </w:rPr>
            </w:pPr>
          </w:p>
          <w:p w:rsidR="006038B0" w:rsidRDefault="006038B0" w:rsidP="00B128A1">
            <w:pPr>
              <w:jc w:val="center"/>
              <w:rPr>
                <w:rFonts w:ascii="Arial" w:hAnsi="Arial" w:cs="Arial"/>
                <w:b/>
                <w:bCs/>
                <w:sz w:val="23"/>
                <w:szCs w:val="22"/>
              </w:rPr>
            </w:pPr>
          </w:p>
          <w:p w:rsidR="006038B0" w:rsidRDefault="006038B0" w:rsidP="00B128A1">
            <w:pPr>
              <w:jc w:val="center"/>
              <w:rPr>
                <w:rFonts w:ascii="Arial" w:hAnsi="Arial" w:cs="Arial"/>
                <w:b/>
                <w:bCs/>
                <w:sz w:val="23"/>
                <w:szCs w:val="22"/>
              </w:rPr>
            </w:pPr>
          </w:p>
          <w:p w:rsidR="006038B0" w:rsidRDefault="006038B0" w:rsidP="00B128A1">
            <w:pPr>
              <w:jc w:val="center"/>
              <w:rPr>
                <w:rFonts w:ascii="Arial" w:hAnsi="Arial" w:cs="Arial"/>
                <w:b/>
                <w:bCs/>
                <w:sz w:val="23"/>
                <w:szCs w:val="22"/>
              </w:rPr>
            </w:pPr>
          </w:p>
          <w:p w:rsidR="006038B0" w:rsidRPr="006A6444" w:rsidRDefault="006038B0" w:rsidP="00B128A1">
            <w:pPr>
              <w:jc w:val="center"/>
              <w:rPr>
                <w:rFonts w:ascii="Arial" w:hAnsi="Arial" w:cs="Arial"/>
                <w:b/>
                <w:bCs/>
                <w:sz w:val="18"/>
                <w:szCs w:val="18"/>
              </w:rPr>
            </w:pPr>
          </w:p>
          <w:p w:rsidR="006038B0" w:rsidRDefault="006038B0" w:rsidP="00B128A1">
            <w:pPr>
              <w:jc w:val="center"/>
              <w:rPr>
                <w:rFonts w:ascii="Arial" w:hAnsi="Arial" w:cs="Arial"/>
                <w:b/>
                <w:bCs/>
                <w:sz w:val="23"/>
                <w:szCs w:val="22"/>
              </w:rPr>
            </w:pPr>
          </w:p>
          <w:p w:rsidR="006038B0" w:rsidRPr="00891D9F" w:rsidRDefault="006038B0" w:rsidP="00B128A1">
            <w:pPr>
              <w:jc w:val="center"/>
              <w:rPr>
                <w:rFonts w:ascii="Arial" w:hAnsi="Arial" w:cs="Arial"/>
                <w:b/>
                <w:bCs/>
              </w:rPr>
            </w:pPr>
          </w:p>
          <w:p w:rsidR="006038B0" w:rsidRDefault="006038B0" w:rsidP="00B128A1">
            <w:pPr>
              <w:jc w:val="center"/>
              <w:rPr>
                <w:rFonts w:ascii="Arial" w:hAnsi="Arial" w:cs="Arial"/>
                <w:b/>
                <w:bCs/>
                <w:sz w:val="23"/>
                <w:szCs w:val="22"/>
              </w:rPr>
            </w:pPr>
            <w:r>
              <w:rPr>
                <w:rFonts w:ascii="Arial" w:hAnsi="Arial" w:cs="Arial"/>
                <w:b/>
                <w:bCs/>
                <w:sz w:val="23"/>
                <w:szCs w:val="22"/>
              </w:rPr>
              <w:t>xiv</w:t>
            </w:r>
          </w:p>
          <w:p w:rsidR="006038B0" w:rsidRDefault="006038B0" w:rsidP="00B128A1">
            <w:pPr>
              <w:jc w:val="center"/>
              <w:rPr>
                <w:rFonts w:ascii="Arial" w:hAnsi="Arial" w:cs="Arial"/>
                <w:b/>
                <w:bCs/>
                <w:sz w:val="23"/>
                <w:szCs w:val="22"/>
              </w:rPr>
            </w:pPr>
            <w:r>
              <w:rPr>
                <w:rFonts w:ascii="Arial" w:hAnsi="Arial" w:cs="Arial"/>
                <w:b/>
                <w:bCs/>
                <w:sz w:val="23"/>
                <w:szCs w:val="22"/>
              </w:rPr>
              <w:t>xv</w:t>
            </w:r>
          </w:p>
          <w:p w:rsidR="006038B0" w:rsidRDefault="006038B0" w:rsidP="00B128A1">
            <w:pPr>
              <w:rPr>
                <w:rFonts w:ascii="Arial" w:hAnsi="Arial" w:cs="Arial"/>
                <w:b/>
                <w:bCs/>
                <w:sz w:val="23"/>
                <w:szCs w:val="22"/>
              </w:rPr>
            </w:pPr>
          </w:p>
          <w:p w:rsidR="006038B0" w:rsidRDefault="006038B0" w:rsidP="00B128A1">
            <w:pPr>
              <w:jc w:val="center"/>
              <w:rPr>
                <w:rFonts w:ascii="Arial" w:hAnsi="Arial" w:cs="Arial"/>
                <w:b/>
                <w:bCs/>
                <w:sz w:val="23"/>
                <w:szCs w:val="22"/>
              </w:rPr>
            </w:pPr>
            <w:r>
              <w:rPr>
                <w:rFonts w:ascii="Arial" w:hAnsi="Arial" w:cs="Arial"/>
                <w:b/>
                <w:bCs/>
                <w:sz w:val="23"/>
                <w:szCs w:val="22"/>
              </w:rPr>
              <w:t>xviii</w:t>
            </w:r>
          </w:p>
          <w:p w:rsidR="006038B0" w:rsidRDefault="006038B0" w:rsidP="00B128A1">
            <w:pPr>
              <w:jc w:val="center"/>
              <w:rPr>
                <w:rFonts w:ascii="Arial" w:hAnsi="Arial" w:cs="Arial"/>
                <w:b/>
                <w:bCs/>
                <w:sz w:val="23"/>
                <w:szCs w:val="22"/>
              </w:rPr>
            </w:pPr>
            <w:r>
              <w:rPr>
                <w:rFonts w:ascii="Arial" w:hAnsi="Arial" w:cs="Arial"/>
                <w:b/>
                <w:bCs/>
                <w:sz w:val="23"/>
                <w:szCs w:val="22"/>
              </w:rPr>
              <w:t>xix</w:t>
            </w:r>
          </w:p>
          <w:p w:rsidR="006038B0" w:rsidRDefault="006038B0" w:rsidP="00B128A1">
            <w:pPr>
              <w:jc w:val="center"/>
              <w:rPr>
                <w:rFonts w:ascii="Arial" w:hAnsi="Arial" w:cs="Arial"/>
                <w:b/>
                <w:bCs/>
                <w:sz w:val="23"/>
                <w:szCs w:val="22"/>
              </w:rPr>
            </w:pPr>
            <w:r>
              <w:rPr>
                <w:rFonts w:ascii="Arial" w:hAnsi="Arial" w:cs="Arial"/>
                <w:b/>
                <w:bCs/>
                <w:sz w:val="23"/>
                <w:szCs w:val="22"/>
              </w:rPr>
              <w:t>xx</w:t>
            </w:r>
          </w:p>
          <w:p w:rsidR="006038B0" w:rsidRDefault="006038B0" w:rsidP="00B128A1">
            <w:pPr>
              <w:jc w:val="center"/>
              <w:rPr>
                <w:rFonts w:ascii="Arial" w:hAnsi="Arial" w:cs="Arial"/>
                <w:b/>
                <w:bCs/>
                <w:sz w:val="23"/>
                <w:szCs w:val="22"/>
              </w:rPr>
            </w:pPr>
            <w:r>
              <w:rPr>
                <w:rFonts w:ascii="Arial" w:hAnsi="Arial" w:cs="Arial"/>
                <w:b/>
                <w:bCs/>
                <w:sz w:val="23"/>
                <w:szCs w:val="22"/>
              </w:rPr>
              <w:t>xxiv</w:t>
            </w:r>
          </w:p>
        </w:tc>
      </w:tr>
    </w:tbl>
    <w:p w:rsidR="006038B0" w:rsidRDefault="006038B0" w:rsidP="006038B0">
      <w:pPr>
        <w:rPr>
          <w:rFonts w:ascii="Arial" w:hAnsi="Arial" w:cs="Arial"/>
          <w:sz w:val="23"/>
          <w:szCs w:val="22"/>
        </w:rPr>
      </w:pPr>
      <w:r>
        <w:rPr>
          <w:rFonts w:ascii="Arial" w:hAnsi="Arial" w:cs="Arial"/>
          <w:b/>
          <w:bCs/>
          <w:sz w:val="23"/>
          <w:szCs w:val="22"/>
        </w:rPr>
        <w:t>Figure 4.13</w:t>
      </w:r>
      <w:r>
        <w:rPr>
          <w:rFonts w:ascii="Arial" w:hAnsi="Arial" w:cs="Arial"/>
          <w:sz w:val="23"/>
          <w:szCs w:val="22"/>
        </w:rPr>
        <w:t xml:space="preserve">: Scatter graph showing the average Oak ring widths (mm)                   </w:t>
      </w:r>
      <w:r>
        <w:rPr>
          <w:rFonts w:ascii="Arial" w:hAnsi="Arial" w:cs="Arial"/>
          <w:sz w:val="23"/>
          <w:szCs w:val="22"/>
        </w:rPr>
        <w:br/>
        <w:t xml:space="preserve">                      Vs the average annual precipitation levels (mm)</w:t>
      </w:r>
    </w:p>
    <w:p w:rsidR="006038B0" w:rsidRDefault="006038B0" w:rsidP="006038B0">
      <w:pPr>
        <w:rPr>
          <w:rFonts w:ascii="Arial" w:hAnsi="Arial" w:cs="Arial"/>
          <w:sz w:val="23"/>
          <w:szCs w:val="22"/>
        </w:rPr>
      </w:pPr>
      <w:r>
        <w:rPr>
          <w:rFonts w:ascii="Arial" w:hAnsi="Arial" w:cs="Arial"/>
          <w:b/>
          <w:bCs/>
          <w:sz w:val="23"/>
          <w:szCs w:val="22"/>
        </w:rPr>
        <w:t>Figure 4.14</w:t>
      </w:r>
      <w:r>
        <w:rPr>
          <w:rFonts w:ascii="Arial" w:hAnsi="Arial" w:cs="Arial"/>
          <w:sz w:val="23"/>
          <w:szCs w:val="22"/>
        </w:rPr>
        <w:t xml:space="preserve">: The annual average temperature (ºC) Vs the average                         </w:t>
      </w:r>
      <w:r>
        <w:rPr>
          <w:rFonts w:ascii="Arial" w:hAnsi="Arial" w:cs="Arial"/>
          <w:sz w:val="23"/>
          <w:szCs w:val="22"/>
        </w:rPr>
        <w:br/>
        <w:t xml:space="preserve">                     Sycamore ring widths (mm) between 1972 and 2012 </w:t>
      </w:r>
    </w:p>
    <w:p w:rsidR="006038B0" w:rsidRDefault="006038B0" w:rsidP="006038B0">
      <w:pPr>
        <w:rPr>
          <w:rFonts w:ascii="Arial" w:hAnsi="Arial" w:cs="Arial"/>
          <w:sz w:val="23"/>
          <w:szCs w:val="22"/>
        </w:rPr>
      </w:pPr>
      <w:r>
        <w:rPr>
          <w:rFonts w:ascii="Arial" w:hAnsi="Arial" w:cs="Arial"/>
          <w:b/>
          <w:bCs/>
          <w:sz w:val="23"/>
          <w:szCs w:val="22"/>
        </w:rPr>
        <w:t>Figure 4.15</w:t>
      </w:r>
      <w:r>
        <w:rPr>
          <w:rFonts w:ascii="Arial" w:hAnsi="Arial" w:cs="Arial"/>
          <w:sz w:val="23"/>
          <w:szCs w:val="22"/>
        </w:rPr>
        <w:t xml:space="preserve">: Scatter graph showing the average Sycamore ring widths                  </w:t>
      </w:r>
      <w:r>
        <w:rPr>
          <w:rFonts w:ascii="Arial" w:hAnsi="Arial" w:cs="Arial"/>
          <w:sz w:val="23"/>
          <w:szCs w:val="22"/>
        </w:rPr>
        <w:br/>
        <w:t xml:space="preserve">                      (mm) Vs the average annual temperature (ºC)</w:t>
      </w:r>
    </w:p>
    <w:p w:rsidR="006038B0" w:rsidRDefault="006038B0" w:rsidP="006038B0">
      <w:pPr>
        <w:rPr>
          <w:rFonts w:ascii="Arial" w:hAnsi="Arial" w:cs="Arial"/>
          <w:sz w:val="23"/>
          <w:szCs w:val="22"/>
        </w:rPr>
      </w:pPr>
      <w:r>
        <w:rPr>
          <w:rFonts w:ascii="Arial" w:hAnsi="Arial" w:cs="Arial"/>
          <w:b/>
          <w:bCs/>
          <w:sz w:val="23"/>
          <w:szCs w:val="22"/>
        </w:rPr>
        <w:t>Figure 4.16</w:t>
      </w:r>
      <w:r>
        <w:rPr>
          <w:rFonts w:ascii="Arial" w:hAnsi="Arial" w:cs="Arial"/>
          <w:sz w:val="23"/>
          <w:szCs w:val="22"/>
        </w:rPr>
        <w:t xml:space="preserve">: The annual average temperature (ºC) Vs the average                         </w:t>
      </w:r>
      <w:r>
        <w:rPr>
          <w:rFonts w:ascii="Arial" w:hAnsi="Arial" w:cs="Arial"/>
          <w:sz w:val="23"/>
          <w:szCs w:val="22"/>
        </w:rPr>
        <w:br/>
        <w:t xml:space="preserve">                      Beech ring widths (mm) between 1972 and 2012</w:t>
      </w:r>
    </w:p>
    <w:p w:rsidR="006038B0" w:rsidRDefault="006038B0" w:rsidP="006038B0">
      <w:pPr>
        <w:rPr>
          <w:rFonts w:ascii="Arial" w:hAnsi="Arial" w:cs="Arial"/>
          <w:sz w:val="23"/>
          <w:szCs w:val="22"/>
        </w:rPr>
      </w:pPr>
      <w:r>
        <w:rPr>
          <w:rFonts w:ascii="Arial" w:hAnsi="Arial" w:cs="Arial"/>
          <w:b/>
          <w:bCs/>
          <w:sz w:val="23"/>
          <w:szCs w:val="22"/>
        </w:rPr>
        <w:t>Figure 4.17</w:t>
      </w:r>
      <w:r>
        <w:rPr>
          <w:rFonts w:ascii="Arial" w:hAnsi="Arial" w:cs="Arial"/>
          <w:sz w:val="23"/>
          <w:szCs w:val="22"/>
        </w:rPr>
        <w:t xml:space="preserve">: Scatter graph showing the average Beech ring widths                        </w:t>
      </w:r>
      <w:r>
        <w:rPr>
          <w:rFonts w:ascii="Arial" w:hAnsi="Arial" w:cs="Arial"/>
          <w:sz w:val="23"/>
          <w:szCs w:val="22"/>
        </w:rPr>
        <w:br/>
        <w:t xml:space="preserve">                      (mm) Vs the average annual temperature (ºC)</w:t>
      </w:r>
    </w:p>
    <w:p w:rsidR="006038B0" w:rsidRDefault="006038B0" w:rsidP="006038B0">
      <w:pPr>
        <w:rPr>
          <w:rFonts w:ascii="Arial" w:hAnsi="Arial" w:cs="Arial"/>
          <w:sz w:val="23"/>
          <w:szCs w:val="22"/>
        </w:rPr>
      </w:pPr>
      <w:r>
        <w:rPr>
          <w:rFonts w:ascii="Arial" w:hAnsi="Arial" w:cs="Arial"/>
          <w:b/>
          <w:bCs/>
          <w:sz w:val="23"/>
          <w:szCs w:val="22"/>
        </w:rPr>
        <w:t>Figure 4.18</w:t>
      </w:r>
      <w:r>
        <w:rPr>
          <w:rFonts w:ascii="Arial" w:hAnsi="Arial" w:cs="Arial"/>
          <w:sz w:val="23"/>
          <w:szCs w:val="22"/>
        </w:rPr>
        <w:t xml:space="preserve">: The annual average temperature (ºC) Vs the average                         </w:t>
      </w:r>
      <w:r>
        <w:rPr>
          <w:rFonts w:ascii="Arial" w:hAnsi="Arial" w:cs="Arial"/>
          <w:sz w:val="23"/>
          <w:szCs w:val="22"/>
        </w:rPr>
        <w:br/>
        <w:t xml:space="preserve">                      Oak ring widths (mm) between 1972 and 2012</w:t>
      </w:r>
    </w:p>
    <w:p w:rsidR="006038B0" w:rsidRDefault="006038B0" w:rsidP="006038B0">
      <w:pPr>
        <w:rPr>
          <w:rFonts w:ascii="Arial" w:hAnsi="Arial" w:cs="Arial"/>
          <w:sz w:val="23"/>
          <w:szCs w:val="22"/>
        </w:rPr>
      </w:pPr>
      <w:r>
        <w:rPr>
          <w:rFonts w:ascii="Arial" w:hAnsi="Arial" w:cs="Arial"/>
          <w:b/>
          <w:bCs/>
          <w:sz w:val="23"/>
          <w:szCs w:val="22"/>
        </w:rPr>
        <w:t>Figure 4.19</w:t>
      </w:r>
      <w:r>
        <w:rPr>
          <w:rFonts w:ascii="Arial" w:hAnsi="Arial" w:cs="Arial"/>
          <w:sz w:val="23"/>
          <w:szCs w:val="22"/>
        </w:rPr>
        <w:t xml:space="preserve">: Scatter graph showing the average Oak ring widths (mm)                   </w:t>
      </w:r>
      <w:r>
        <w:rPr>
          <w:rFonts w:ascii="Arial" w:hAnsi="Arial" w:cs="Arial"/>
          <w:sz w:val="23"/>
          <w:szCs w:val="22"/>
        </w:rPr>
        <w:br/>
        <w:t xml:space="preserve">                      Vs the average annual temperature (ºC)</w:t>
      </w:r>
    </w:p>
    <w:p w:rsidR="006038B0" w:rsidRDefault="006038B0" w:rsidP="006038B0">
      <w:pPr>
        <w:rPr>
          <w:rFonts w:ascii="Arial" w:hAnsi="Arial" w:cs="Arial"/>
          <w:sz w:val="23"/>
          <w:szCs w:val="22"/>
        </w:rPr>
      </w:pPr>
      <w:r>
        <w:rPr>
          <w:rFonts w:ascii="Arial" w:hAnsi="Arial" w:cs="Arial"/>
          <w:b/>
          <w:bCs/>
          <w:sz w:val="23"/>
          <w:szCs w:val="22"/>
        </w:rPr>
        <w:t>Figure 4.20</w:t>
      </w:r>
      <w:r>
        <w:rPr>
          <w:rFonts w:ascii="Arial" w:hAnsi="Arial" w:cs="Arial"/>
          <w:sz w:val="23"/>
          <w:szCs w:val="22"/>
        </w:rPr>
        <w:t xml:space="preserve">: The annual average Oak ring widths (mm) from Priestley                   </w:t>
      </w:r>
      <w:r>
        <w:rPr>
          <w:rFonts w:ascii="Arial" w:hAnsi="Arial" w:cs="Arial"/>
          <w:sz w:val="23"/>
          <w:szCs w:val="22"/>
        </w:rPr>
        <w:br/>
        <w:t xml:space="preserve">                      Clough Vs the Sheffield Oak ring widths (mm) between </w:t>
      </w:r>
      <w:r>
        <w:rPr>
          <w:rFonts w:ascii="Arial" w:hAnsi="Arial" w:cs="Arial"/>
          <w:sz w:val="23"/>
          <w:szCs w:val="22"/>
        </w:rPr>
        <w:br/>
        <w:t xml:space="preserve">                      1972 and 2003</w:t>
      </w:r>
    </w:p>
    <w:p w:rsidR="006038B0" w:rsidRDefault="006038B0" w:rsidP="006038B0">
      <w:pPr>
        <w:rPr>
          <w:rFonts w:ascii="Arial" w:hAnsi="Arial" w:cs="Arial"/>
          <w:sz w:val="23"/>
          <w:szCs w:val="22"/>
        </w:rPr>
      </w:pPr>
      <w:r>
        <w:rPr>
          <w:rFonts w:ascii="Arial" w:hAnsi="Arial" w:cs="Arial"/>
          <w:b/>
          <w:bCs/>
          <w:sz w:val="23"/>
          <w:szCs w:val="22"/>
        </w:rPr>
        <w:t>Figure 4.21</w:t>
      </w:r>
      <w:r>
        <w:rPr>
          <w:rFonts w:ascii="Arial" w:hAnsi="Arial" w:cs="Arial"/>
          <w:sz w:val="23"/>
          <w:szCs w:val="22"/>
        </w:rPr>
        <w:t xml:space="preserve">: The annual average Oak ring widths (mm) form Priestley                   </w:t>
      </w:r>
      <w:r>
        <w:rPr>
          <w:rFonts w:ascii="Arial" w:hAnsi="Arial" w:cs="Arial"/>
          <w:sz w:val="23"/>
          <w:szCs w:val="22"/>
        </w:rPr>
        <w:br/>
        <w:t xml:space="preserve">                      Clough Vs the Savernake Oak ring widths (mm) between </w:t>
      </w:r>
      <w:r>
        <w:rPr>
          <w:rFonts w:ascii="Arial" w:hAnsi="Arial" w:cs="Arial"/>
          <w:sz w:val="23"/>
          <w:szCs w:val="22"/>
        </w:rPr>
        <w:br/>
        <w:t xml:space="preserve">                      1972 and 2006</w:t>
      </w:r>
    </w:p>
    <w:p w:rsidR="006038B0" w:rsidRDefault="006038B0" w:rsidP="006038B0">
      <w:pPr>
        <w:rPr>
          <w:rFonts w:ascii="Arial" w:hAnsi="Arial" w:cs="Arial"/>
          <w:sz w:val="23"/>
          <w:szCs w:val="22"/>
        </w:rPr>
      </w:pPr>
      <w:r>
        <w:rPr>
          <w:rFonts w:ascii="Arial" w:hAnsi="Arial" w:cs="Arial"/>
          <w:b/>
          <w:bCs/>
          <w:sz w:val="23"/>
          <w:szCs w:val="22"/>
        </w:rPr>
        <w:t>Figure 4.22</w:t>
      </w:r>
      <w:r>
        <w:rPr>
          <w:rFonts w:ascii="Arial" w:hAnsi="Arial" w:cs="Arial"/>
          <w:sz w:val="23"/>
          <w:szCs w:val="22"/>
        </w:rPr>
        <w:t xml:space="preserve">: The annual average Oak ring widths (mm) from Priestley                   </w:t>
      </w:r>
      <w:r>
        <w:rPr>
          <w:rFonts w:ascii="Arial" w:hAnsi="Arial" w:cs="Arial"/>
          <w:sz w:val="23"/>
          <w:szCs w:val="22"/>
        </w:rPr>
        <w:br/>
        <w:t xml:space="preserve">                      Clough Vs the East Pomerania Oak ring widths (mm) </w:t>
      </w:r>
      <w:r>
        <w:rPr>
          <w:rFonts w:ascii="Arial" w:hAnsi="Arial" w:cs="Arial"/>
          <w:sz w:val="23"/>
          <w:szCs w:val="22"/>
        </w:rPr>
        <w:br/>
        <w:t xml:space="preserve">                      between 1972 and 1985</w:t>
      </w:r>
    </w:p>
    <w:p w:rsidR="006038B0" w:rsidRDefault="006038B0" w:rsidP="006038B0">
      <w:pPr>
        <w:rPr>
          <w:rFonts w:ascii="Arial" w:hAnsi="Arial" w:cs="Arial"/>
          <w:sz w:val="23"/>
          <w:szCs w:val="22"/>
        </w:rPr>
      </w:pPr>
      <w:r>
        <w:rPr>
          <w:rFonts w:ascii="Arial" w:hAnsi="Arial" w:cs="Arial"/>
          <w:b/>
          <w:bCs/>
          <w:sz w:val="23"/>
          <w:szCs w:val="22"/>
        </w:rPr>
        <w:t>Figure 4.23</w:t>
      </w:r>
      <w:r>
        <w:rPr>
          <w:rFonts w:ascii="Arial" w:hAnsi="Arial" w:cs="Arial"/>
          <w:sz w:val="23"/>
          <w:szCs w:val="22"/>
        </w:rPr>
        <w:t xml:space="preserve">: Oak ring widths (mm) for Sheffield Vs the </w:t>
      </w:r>
      <w:smartTag w:uri="urn:schemas-microsoft-com:office:smarttags" w:element="place">
        <w:r>
          <w:rPr>
            <w:rFonts w:ascii="Arial" w:hAnsi="Arial" w:cs="Arial"/>
            <w:sz w:val="23"/>
            <w:szCs w:val="22"/>
          </w:rPr>
          <w:t>East Pomerania</w:t>
        </w:r>
      </w:smartTag>
      <w:r>
        <w:rPr>
          <w:rFonts w:ascii="Arial" w:hAnsi="Arial" w:cs="Arial"/>
          <w:sz w:val="23"/>
          <w:szCs w:val="22"/>
        </w:rPr>
        <w:t xml:space="preserve">                 </w:t>
      </w:r>
      <w:r>
        <w:rPr>
          <w:rFonts w:ascii="Arial" w:hAnsi="Arial" w:cs="Arial"/>
          <w:sz w:val="23"/>
          <w:szCs w:val="22"/>
        </w:rPr>
        <w:br/>
        <w:t xml:space="preserve">                      Oak ring widths (mm) between 1972 and 1985</w:t>
      </w:r>
    </w:p>
    <w:p w:rsidR="006038B0" w:rsidRDefault="006038B0" w:rsidP="006038B0">
      <w:pPr>
        <w:rPr>
          <w:rFonts w:ascii="Arial" w:hAnsi="Arial" w:cs="Arial"/>
          <w:sz w:val="23"/>
          <w:szCs w:val="22"/>
        </w:rPr>
      </w:pPr>
      <w:r>
        <w:rPr>
          <w:rFonts w:ascii="Arial" w:hAnsi="Arial" w:cs="Arial"/>
          <w:b/>
          <w:bCs/>
          <w:sz w:val="23"/>
          <w:szCs w:val="22"/>
        </w:rPr>
        <w:t>Figure 4.24</w:t>
      </w:r>
      <w:r>
        <w:rPr>
          <w:rFonts w:ascii="Arial" w:hAnsi="Arial" w:cs="Arial"/>
          <w:sz w:val="23"/>
          <w:szCs w:val="22"/>
        </w:rPr>
        <w:t xml:space="preserve">: Oak ring widths (mm) for Sheffield Vs the Savernake Oak                  </w:t>
      </w:r>
      <w:r>
        <w:rPr>
          <w:rFonts w:ascii="Arial" w:hAnsi="Arial" w:cs="Arial"/>
          <w:sz w:val="23"/>
          <w:szCs w:val="22"/>
        </w:rPr>
        <w:br/>
        <w:t xml:space="preserve">                      ring widths (mm) between 1972 and 2003</w:t>
      </w:r>
    </w:p>
    <w:p w:rsidR="006038B0" w:rsidRDefault="006038B0" w:rsidP="006038B0">
      <w:pPr>
        <w:rPr>
          <w:rFonts w:ascii="Arial" w:hAnsi="Arial" w:cs="Arial"/>
          <w:sz w:val="23"/>
          <w:szCs w:val="22"/>
        </w:rPr>
      </w:pPr>
      <w:r>
        <w:rPr>
          <w:rFonts w:ascii="Arial" w:hAnsi="Arial" w:cs="Arial"/>
          <w:b/>
          <w:bCs/>
          <w:sz w:val="23"/>
          <w:szCs w:val="22"/>
        </w:rPr>
        <w:t>Figure 4.25</w:t>
      </w:r>
      <w:r>
        <w:rPr>
          <w:rFonts w:ascii="Arial" w:hAnsi="Arial" w:cs="Arial"/>
          <w:sz w:val="23"/>
          <w:szCs w:val="22"/>
        </w:rPr>
        <w:t xml:space="preserve">: Oak ring widths (mm) for Savernake Vs the </w:t>
      </w:r>
      <w:smartTag w:uri="urn:schemas-microsoft-com:office:smarttags" w:element="place">
        <w:r>
          <w:rPr>
            <w:rFonts w:ascii="Arial" w:hAnsi="Arial" w:cs="Arial"/>
            <w:sz w:val="23"/>
            <w:szCs w:val="22"/>
          </w:rPr>
          <w:t>East Pomerania</w:t>
        </w:r>
      </w:smartTag>
      <w:r>
        <w:rPr>
          <w:rFonts w:ascii="Arial" w:hAnsi="Arial" w:cs="Arial"/>
          <w:sz w:val="23"/>
          <w:szCs w:val="22"/>
        </w:rPr>
        <w:t xml:space="preserve">              </w:t>
      </w:r>
      <w:r>
        <w:rPr>
          <w:rFonts w:ascii="Arial" w:hAnsi="Arial" w:cs="Arial"/>
          <w:sz w:val="23"/>
          <w:szCs w:val="22"/>
        </w:rPr>
        <w:br/>
        <w:t xml:space="preserve">                      Oak ring widths (mm) between 1972 and 1985</w:t>
      </w:r>
    </w:p>
    <w:p w:rsidR="006038B0" w:rsidRDefault="006038B0" w:rsidP="006038B0">
      <w:pPr>
        <w:rPr>
          <w:rFonts w:ascii="Arial" w:hAnsi="Arial" w:cs="Arial"/>
          <w:sz w:val="22"/>
          <w:szCs w:val="22"/>
        </w:rPr>
      </w:pPr>
    </w:p>
    <w:p w:rsidR="006038B0" w:rsidRDefault="006038B0" w:rsidP="006038B0">
      <w:pPr>
        <w:rPr>
          <w:rFonts w:ascii="Arial" w:hAnsi="Arial" w:cs="Arial"/>
          <w:b/>
          <w:bCs/>
          <w:sz w:val="22"/>
          <w:u w:val="single"/>
        </w:rPr>
      </w:pPr>
    </w:p>
    <w:p w:rsidR="006038B0" w:rsidRDefault="006038B0" w:rsidP="006038B0">
      <w:pPr>
        <w:rPr>
          <w:rFonts w:ascii="Arial" w:hAnsi="Arial" w:cs="Arial"/>
          <w:b/>
          <w:bCs/>
          <w:u w:val="single"/>
        </w:rPr>
      </w:pPr>
    </w:p>
    <w:p w:rsidR="006038B0" w:rsidRDefault="006038B0" w:rsidP="006038B0">
      <w:pPr>
        <w:rPr>
          <w:rFonts w:ascii="Arial" w:hAnsi="Arial" w:cs="Arial"/>
          <w:b/>
          <w:bCs/>
          <w:sz w:val="32"/>
          <w:u w:val="single"/>
        </w:rPr>
      </w:pPr>
    </w:p>
    <w:p w:rsidR="006038B0" w:rsidRDefault="006038B0" w:rsidP="006038B0">
      <w:pPr>
        <w:jc w:val="center"/>
        <w:rPr>
          <w:rFonts w:ascii="Arial" w:hAnsi="Arial" w:cs="Arial"/>
          <w:b/>
          <w:bCs/>
          <w:sz w:val="32"/>
          <w:u w:val="single"/>
        </w:rPr>
      </w:pPr>
      <w:r>
        <w:rPr>
          <w:rFonts w:ascii="Arial" w:hAnsi="Arial" w:cs="Arial"/>
          <w:b/>
          <w:bCs/>
          <w:sz w:val="32"/>
          <w:u w:val="single"/>
        </w:rPr>
        <w:t>List of Tables</w:t>
      </w:r>
    </w:p>
    <w:p w:rsidR="006038B0" w:rsidRDefault="006038B0" w:rsidP="006038B0">
      <w:pPr>
        <w:rPr>
          <w:rFonts w:ascii="Arial" w:hAnsi="Arial" w:cs="Arial"/>
        </w:rPr>
      </w:pPr>
    </w:p>
    <w:p w:rsidR="006038B0" w:rsidRDefault="006038B0" w:rsidP="006038B0">
      <w:pPr>
        <w:rPr>
          <w:rFonts w:ascii="Arial" w:hAnsi="Arial" w:cs="Arial"/>
          <w:sz w:val="23"/>
          <w:szCs w:val="23"/>
        </w:rPr>
      </w:pPr>
      <w:r>
        <w:rPr>
          <w:rFonts w:ascii="Arial" w:hAnsi="Arial" w:cs="Arial"/>
          <w:b/>
          <w:bCs/>
          <w:u w:val="single"/>
        </w:rPr>
        <w:br/>
      </w:r>
      <w:r>
        <w:rPr>
          <w:rFonts w:ascii="Arial" w:hAnsi="Arial" w:cs="Arial"/>
          <w:b/>
          <w:bCs/>
          <w:sz w:val="23"/>
          <w:szCs w:val="23"/>
        </w:rPr>
        <w:t>Table 1</w:t>
      </w:r>
      <w:r>
        <w:rPr>
          <w:rFonts w:ascii="Arial" w:hAnsi="Arial" w:cs="Arial"/>
          <w:sz w:val="23"/>
          <w:szCs w:val="23"/>
        </w:rPr>
        <w:t xml:space="preserve">: (Appendix D) Raw ring width data for this study                                       </w:t>
      </w:r>
    </w:p>
    <w:p w:rsidR="006038B0" w:rsidRDefault="006038B0" w:rsidP="006038B0">
      <w:pPr>
        <w:rPr>
          <w:rFonts w:ascii="Arial" w:hAnsi="Arial" w:cs="Arial"/>
          <w:sz w:val="23"/>
          <w:szCs w:val="23"/>
        </w:rPr>
      </w:pPr>
      <w:r>
        <w:rPr>
          <w:rFonts w:ascii="Arial" w:hAnsi="Arial" w:cs="Arial"/>
          <w:b/>
          <w:bCs/>
          <w:sz w:val="23"/>
          <w:szCs w:val="23"/>
        </w:rPr>
        <w:t>Table 2</w:t>
      </w:r>
      <w:r>
        <w:rPr>
          <w:rFonts w:ascii="Arial" w:hAnsi="Arial" w:cs="Arial"/>
          <w:sz w:val="23"/>
          <w:szCs w:val="23"/>
        </w:rPr>
        <w:t xml:space="preserve">: (Appendix E) Precipitation and temperature records                                 </w:t>
      </w:r>
    </w:p>
    <w:p w:rsidR="006038B0" w:rsidRDefault="006038B0" w:rsidP="006038B0">
      <w:pPr>
        <w:jc w:val="both"/>
        <w:rPr>
          <w:rFonts w:ascii="Arial" w:hAnsi="Arial" w:cs="Arial"/>
          <w:sz w:val="23"/>
          <w:szCs w:val="23"/>
        </w:rPr>
      </w:pPr>
      <w:r>
        <w:rPr>
          <w:rFonts w:ascii="Arial" w:hAnsi="Arial" w:cs="Arial"/>
          <w:sz w:val="23"/>
          <w:szCs w:val="23"/>
        </w:rPr>
        <w:t xml:space="preserve">               (1972-2012)</w:t>
      </w:r>
    </w:p>
    <w:p w:rsidR="006038B0" w:rsidRDefault="006038B0" w:rsidP="006038B0">
      <w:pPr>
        <w:rPr>
          <w:rFonts w:ascii="Arial" w:hAnsi="Arial" w:cs="Arial"/>
          <w:sz w:val="23"/>
          <w:szCs w:val="23"/>
        </w:rPr>
      </w:pPr>
      <w:r>
        <w:rPr>
          <w:rFonts w:ascii="Arial" w:hAnsi="Arial" w:cs="Arial"/>
          <w:b/>
          <w:bCs/>
          <w:sz w:val="23"/>
          <w:szCs w:val="23"/>
        </w:rPr>
        <w:t>Table 3</w:t>
      </w:r>
      <w:r>
        <w:rPr>
          <w:rFonts w:ascii="Arial" w:hAnsi="Arial" w:cs="Arial"/>
          <w:sz w:val="23"/>
          <w:szCs w:val="23"/>
        </w:rPr>
        <w:t xml:space="preserve">: (Appendix G) </w:t>
      </w:r>
      <w:smartTag w:uri="urn:schemas-microsoft-com:office:smarttags" w:element="place">
        <w:r>
          <w:rPr>
            <w:rFonts w:ascii="Arial" w:hAnsi="Arial" w:cs="Arial"/>
            <w:sz w:val="23"/>
            <w:szCs w:val="23"/>
          </w:rPr>
          <w:t>Sheffield</w:t>
        </w:r>
      </w:smartTag>
      <w:r>
        <w:rPr>
          <w:rFonts w:ascii="Arial" w:hAnsi="Arial" w:cs="Arial"/>
          <w:sz w:val="23"/>
          <w:szCs w:val="23"/>
        </w:rPr>
        <w:t xml:space="preserve"> data                                                                    </w:t>
      </w:r>
    </w:p>
    <w:p w:rsidR="006038B0" w:rsidRDefault="006038B0" w:rsidP="006038B0">
      <w:pPr>
        <w:rPr>
          <w:rFonts w:ascii="Arial" w:hAnsi="Arial" w:cs="Arial"/>
          <w:b/>
          <w:bCs/>
          <w:sz w:val="23"/>
          <w:szCs w:val="23"/>
        </w:rPr>
      </w:pPr>
      <w:r>
        <w:rPr>
          <w:rFonts w:ascii="Arial" w:hAnsi="Arial" w:cs="Arial"/>
          <w:b/>
          <w:bCs/>
          <w:sz w:val="23"/>
          <w:szCs w:val="23"/>
        </w:rPr>
        <w:t>Table 4</w:t>
      </w:r>
      <w:r>
        <w:rPr>
          <w:rFonts w:ascii="Arial" w:hAnsi="Arial" w:cs="Arial"/>
          <w:sz w:val="23"/>
          <w:szCs w:val="23"/>
        </w:rPr>
        <w:t xml:space="preserve">: (Appendix G) Savernake data                                                                   </w:t>
      </w:r>
    </w:p>
    <w:p w:rsidR="006038B0" w:rsidRDefault="006038B0" w:rsidP="006038B0">
      <w:pPr>
        <w:rPr>
          <w:rFonts w:ascii="Arial" w:hAnsi="Arial" w:cs="Arial"/>
          <w:b/>
          <w:bCs/>
          <w:sz w:val="23"/>
          <w:szCs w:val="23"/>
        </w:rPr>
      </w:pPr>
      <w:r>
        <w:rPr>
          <w:rFonts w:ascii="Arial" w:hAnsi="Arial" w:cs="Arial"/>
          <w:b/>
          <w:bCs/>
          <w:sz w:val="23"/>
          <w:szCs w:val="23"/>
        </w:rPr>
        <w:t>Table 5</w:t>
      </w:r>
      <w:r>
        <w:rPr>
          <w:rFonts w:ascii="Arial" w:hAnsi="Arial" w:cs="Arial"/>
          <w:sz w:val="23"/>
          <w:szCs w:val="23"/>
        </w:rPr>
        <w:t xml:space="preserve">: (Appendix G) </w:t>
      </w:r>
      <w:smartTag w:uri="urn:schemas-microsoft-com:office:smarttags" w:element="place">
        <w:r>
          <w:rPr>
            <w:rFonts w:ascii="Arial" w:hAnsi="Arial" w:cs="Arial"/>
            <w:sz w:val="23"/>
            <w:szCs w:val="23"/>
          </w:rPr>
          <w:t>East Pomerania</w:t>
        </w:r>
      </w:smartTag>
      <w:r>
        <w:rPr>
          <w:rFonts w:ascii="Arial" w:hAnsi="Arial" w:cs="Arial"/>
          <w:sz w:val="23"/>
          <w:szCs w:val="23"/>
        </w:rPr>
        <w:t xml:space="preserve"> data                                                            </w:t>
      </w:r>
    </w:p>
    <w:p w:rsidR="006038B0" w:rsidRDefault="006038B0" w:rsidP="006038B0">
      <w:pPr>
        <w:rPr>
          <w:rFonts w:ascii="Arial" w:hAnsi="Arial" w:cs="Arial"/>
          <w:sz w:val="23"/>
          <w:szCs w:val="23"/>
        </w:rPr>
      </w:pPr>
      <w:r>
        <w:rPr>
          <w:rFonts w:ascii="Arial" w:hAnsi="Arial" w:cs="Arial"/>
          <w:b/>
          <w:bCs/>
          <w:sz w:val="23"/>
          <w:szCs w:val="23"/>
        </w:rPr>
        <w:t>Table 6</w:t>
      </w:r>
      <w:r>
        <w:rPr>
          <w:rFonts w:ascii="Arial" w:hAnsi="Arial" w:cs="Arial"/>
          <w:sz w:val="23"/>
          <w:szCs w:val="23"/>
        </w:rPr>
        <w:t>:</w:t>
      </w:r>
      <w:r>
        <w:rPr>
          <w:rFonts w:ascii="Arial" w:hAnsi="Arial" w:cs="Arial"/>
          <w:b/>
          <w:bCs/>
          <w:sz w:val="23"/>
          <w:szCs w:val="23"/>
        </w:rPr>
        <w:t xml:space="preserve"> </w:t>
      </w:r>
      <w:r>
        <w:rPr>
          <w:rFonts w:ascii="Arial" w:hAnsi="Arial" w:cs="Arial"/>
          <w:sz w:val="23"/>
          <w:szCs w:val="23"/>
        </w:rPr>
        <w:t xml:space="preserve">(Appendix I) Critical Values for Pearson’s Correlation                            </w:t>
      </w:r>
    </w:p>
    <w:p w:rsidR="006038B0" w:rsidRDefault="006038B0" w:rsidP="006038B0">
      <w:pPr>
        <w:jc w:val="both"/>
        <w:rPr>
          <w:rFonts w:ascii="Arial" w:hAnsi="Arial" w:cs="Arial"/>
          <w:sz w:val="23"/>
          <w:szCs w:val="23"/>
        </w:rPr>
      </w:pPr>
      <w:r>
        <w:rPr>
          <w:rFonts w:ascii="Arial" w:hAnsi="Arial" w:cs="Arial"/>
          <w:sz w:val="23"/>
          <w:szCs w:val="23"/>
        </w:rPr>
        <w:t xml:space="preserve">                Coefficient</w:t>
      </w:r>
    </w:p>
    <w:p w:rsidR="001C0D62" w:rsidRDefault="001C0D62">
      <w:pPr>
        <w:jc w:val="both"/>
        <w:rPr>
          <w:rFonts w:ascii="Arial" w:hAnsi="Arial" w:cs="Arial"/>
          <w:sz w:val="28"/>
        </w:rPr>
      </w:pPr>
    </w:p>
    <w:p w:rsidR="00B132EC" w:rsidRDefault="00B132EC" w:rsidP="00B132EC">
      <w:pPr>
        <w:rPr>
          <w:rFonts w:ascii="Arial" w:hAnsi="Arial" w:cs="Arial"/>
          <w:b/>
          <w:bCs/>
          <w:sz w:val="22"/>
          <w:u w:val="single"/>
        </w:rPr>
      </w:pPr>
    </w:p>
    <w:p w:rsidR="001C0D62" w:rsidRDefault="001C0D62">
      <w:pPr>
        <w:rPr>
          <w:rFonts w:ascii="Arial" w:hAnsi="Arial" w:cs="Arial"/>
        </w:rPr>
        <w:sectPr w:rsidR="001C0D62">
          <w:pgSz w:w="12240" w:h="15840"/>
          <w:pgMar w:top="1440" w:right="1800" w:bottom="1440" w:left="1800" w:header="720" w:footer="720" w:gutter="0"/>
          <w:pgNumType w:fmt="lowerRoman" w:start="1"/>
          <w:cols w:space="720"/>
          <w:docGrid w:linePitch="360"/>
        </w:sectPr>
      </w:pPr>
    </w:p>
    <w:p w:rsidR="001C0D62" w:rsidRDefault="001C0D62">
      <w:pPr>
        <w:pStyle w:val="Heading2"/>
      </w:pPr>
      <w:r>
        <w:t>Chapter 1.0: Introduction</w:t>
      </w:r>
    </w:p>
    <w:p w:rsidR="001C0D62" w:rsidRDefault="001C0D62">
      <w:pPr>
        <w:jc w:val="center"/>
        <w:rPr>
          <w:rFonts w:ascii="Arial" w:hAnsi="Arial" w:cs="Arial"/>
        </w:rPr>
      </w:pPr>
    </w:p>
    <w:p w:rsidR="001C0D62" w:rsidRDefault="001C0D62">
      <w:pPr>
        <w:jc w:val="both"/>
        <w:rPr>
          <w:rFonts w:ascii="Arial" w:hAnsi="Arial" w:cs="Arial"/>
        </w:rPr>
      </w:pPr>
    </w:p>
    <w:p w:rsidR="001C0D62" w:rsidRDefault="001C0D62">
      <w:pPr>
        <w:jc w:val="both"/>
        <w:rPr>
          <w:rFonts w:ascii="Arial" w:hAnsi="Arial" w:cs="Arial"/>
        </w:rPr>
      </w:pPr>
    </w:p>
    <w:p w:rsidR="001C0D62" w:rsidRDefault="001C0D62">
      <w:pPr>
        <w:spacing w:line="360" w:lineRule="auto"/>
        <w:jc w:val="both"/>
        <w:rPr>
          <w:rFonts w:ascii="Arial" w:hAnsi="Arial" w:cs="Arial"/>
        </w:rPr>
      </w:pPr>
      <w:r>
        <w:rPr>
          <w:rFonts w:ascii="Arial" w:hAnsi="Arial" w:cs="Arial"/>
        </w:rPr>
        <w:t>The climatic conditions of the Earth are continuously changing with large-scale events occurring throughout history as well as more minor small-scale events, which ultimately affect many aspects of the Earth’s environment. Many natural storage systems are able to record these altering conditions and reflect changes in the climate through time. Such proxy records include ice cores, pollen analysis, oxygen isotopes sediment cores, and tree rings.</w:t>
      </w:r>
    </w:p>
    <w:p w:rsidR="001C0D62" w:rsidRDefault="001C0D62">
      <w:pPr>
        <w:jc w:val="both"/>
        <w:rPr>
          <w:rFonts w:ascii="Arial" w:hAnsi="Arial" w:cs="Arial"/>
        </w:rPr>
      </w:pPr>
    </w:p>
    <w:p w:rsidR="001C0D62" w:rsidRDefault="001C0D62">
      <w:pPr>
        <w:spacing w:line="360" w:lineRule="auto"/>
        <w:jc w:val="both"/>
        <w:rPr>
          <w:rFonts w:ascii="Arial" w:hAnsi="Arial" w:cs="Arial"/>
        </w:rPr>
      </w:pPr>
      <w:r>
        <w:rPr>
          <w:rFonts w:ascii="Arial" w:hAnsi="Arial" w:cs="Arial"/>
        </w:rPr>
        <w:t xml:space="preserve">Dendrochronology is a highly specialised scientific method used for the study and precise dating of tree rings, allowing knowledge of past climatic events/changes until the current time. This method enables the ages of trees to be precisely dated and measured by analysing the rings contained within the trees (Speer, 2010), the innermost ring representing the first year of growth, whilst the outermost ring represents the last year of growth. These rings differ annually due to the set of conditions, which prevailed during the time of their formation (Tree-Ring Services, 2012). </w:t>
      </w:r>
    </w:p>
    <w:p w:rsidR="001C0D62" w:rsidRDefault="001C0D62">
      <w:pPr>
        <w:spacing w:line="360" w:lineRule="auto"/>
        <w:jc w:val="both"/>
        <w:rPr>
          <w:rFonts w:ascii="Arial" w:hAnsi="Arial" w:cs="Arial"/>
        </w:rPr>
      </w:pPr>
      <w:r>
        <w:rPr>
          <w:rFonts w:ascii="Arial" w:hAnsi="Arial" w:cs="Arial"/>
          <w:color w:val="FFCC00"/>
        </w:rPr>
        <w:br/>
      </w:r>
      <w:r>
        <w:rPr>
          <w:rFonts w:ascii="Arial" w:hAnsi="Arial" w:cs="Arial"/>
        </w:rPr>
        <w:t>The method of dendrochronology can be used for a variety of purposes (such as archaeology, relative dating of landforms, calibrating the carbon14 dating method for example) as it is so reliable and can highlight significant changes/trends in tree growth (Creber, 1977). Commonly the tree rings can be used to identify areas with greater pollution levels, or those, which suffered from specific events such as drought. Also site-specific events can be depicted from the data such as insect infestations.</w:t>
      </w:r>
    </w:p>
    <w:p w:rsidR="001C0D62" w:rsidRDefault="001C0D62">
      <w:pPr>
        <w:spacing w:line="360" w:lineRule="auto"/>
        <w:jc w:val="both"/>
        <w:rPr>
          <w:rFonts w:ascii="Arial" w:hAnsi="Arial" w:cs="Arial"/>
        </w:rPr>
      </w:pPr>
      <w:r>
        <w:rPr>
          <w:rFonts w:ascii="Arial" w:hAnsi="Arial" w:cs="Arial"/>
        </w:rPr>
        <w:br/>
        <w:t xml:space="preserve">As many different factors may influence tree growth, including site specific ones such as soil type, species, gradient etc, dendrochronology is used as proxy data, meaning it is essential to compare the data with other sources, such as site history or climatic data from the past, to enable a greater level of accuracy when understanding the history of a particular species or site.  </w:t>
      </w:r>
    </w:p>
    <w:p w:rsidR="001C0D62" w:rsidRDefault="001C0D62">
      <w:pPr>
        <w:spacing w:line="360" w:lineRule="auto"/>
        <w:jc w:val="both"/>
        <w:rPr>
          <w:rFonts w:ascii="Arial" w:hAnsi="Arial" w:cs="Arial"/>
        </w:rPr>
      </w:pPr>
      <w:r>
        <w:rPr>
          <w:rFonts w:ascii="Arial" w:hAnsi="Arial" w:cs="Arial"/>
        </w:rPr>
        <w:t xml:space="preserve">Therefore, it can be difficult to interpret the results of dendroclimatic studies without utilizing other sources of data as so many factors can influence a tree’s growth, even at any one time. Looking at knowledge gained in recent times (such as the climate record) can enable a clearer understanding of what specific conditions may promote and limit tree growth. </w:t>
      </w:r>
    </w:p>
    <w:p w:rsidR="001C0D62" w:rsidRDefault="001C0D62">
      <w:pPr>
        <w:spacing w:line="360" w:lineRule="auto"/>
        <w:jc w:val="both"/>
        <w:rPr>
          <w:rFonts w:ascii="Arial" w:hAnsi="Arial" w:cs="Arial"/>
          <w:color w:val="FF0000"/>
        </w:rPr>
      </w:pPr>
    </w:p>
    <w:p w:rsidR="001C0D62" w:rsidRDefault="001C0D62">
      <w:pPr>
        <w:spacing w:line="360" w:lineRule="auto"/>
        <w:jc w:val="both"/>
        <w:rPr>
          <w:rFonts w:ascii="Arial" w:hAnsi="Arial" w:cs="Arial"/>
        </w:rPr>
      </w:pPr>
      <w:r>
        <w:rPr>
          <w:rFonts w:ascii="Arial" w:hAnsi="Arial" w:cs="Arial"/>
        </w:rPr>
        <w:t xml:space="preserve">Many studies have been carried out within this field of research with differing responses being recognized, amongst a variety of species in different areas of the world. Studies have suggested </w:t>
      </w:r>
      <w:r>
        <w:rPr>
          <w:rFonts w:ascii="Arial" w:hAnsi="Arial" w:cs="Arial"/>
          <w:szCs w:val="20"/>
        </w:rPr>
        <w:t xml:space="preserve">a strong relationship between ring growth and temperature in the majority of species under investigation </w:t>
      </w:r>
      <w:r>
        <w:rPr>
          <w:rFonts w:ascii="Arial" w:hAnsi="Arial" w:cs="Arial"/>
        </w:rPr>
        <w:t xml:space="preserve">(Briffa et al 2002; </w:t>
      </w:r>
      <w:r>
        <w:rPr>
          <w:rFonts w:ascii="Arial" w:hAnsi="Arial" w:cs="Arial"/>
          <w:szCs w:val="20"/>
        </w:rPr>
        <w:t>Feliksik &amp; Wilczyński 2009). However, other studies suggested Beech and Ash appear to be the most sensitive to climate, with precipitation being the most influential factor influencing growth (</w:t>
      </w:r>
      <w:r>
        <w:rPr>
          <w:rFonts w:ascii="Arial" w:hAnsi="Arial" w:cs="Arial"/>
          <w:szCs w:val="26"/>
        </w:rPr>
        <w:t xml:space="preserve">García-Suárez et al, 2009). Various studies record sensitivities to drought, for example Morecroft et al (2007) discovered sycamore growth was much reduced during dry periods (Morecroft et al, 2007). Although studies show conflicting results, the research suggests that trees respond differently to changing climatic conditions throughout the world, and even species on the same site can respond differently. </w:t>
      </w: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b/>
          <w:bCs/>
          <w:sz w:val="26"/>
          <w:u w:val="single"/>
        </w:rPr>
      </w:pPr>
      <w:r>
        <w:rPr>
          <w:rFonts w:ascii="Arial" w:hAnsi="Arial" w:cs="Arial"/>
          <w:b/>
          <w:bCs/>
          <w:sz w:val="26"/>
          <w:u w:val="single"/>
        </w:rPr>
        <w:t>1.1: Rationale</w:t>
      </w:r>
    </w:p>
    <w:p w:rsidR="001C0D62" w:rsidRDefault="001C0D62">
      <w:pPr>
        <w:pStyle w:val="BodyText2"/>
        <w:spacing w:line="360" w:lineRule="auto"/>
      </w:pPr>
      <w:r>
        <w:br/>
        <w:t>This study will use dendrochronology to provide a proxy data record in order to determine how past climatic conditions (temperature and precipitation), have influenced tree ring growth of three different species.</w:t>
      </w:r>
    </w:p>
    <w:p w:rsidR="001C0D62" w:rsidRDefault="001C0D62">
      <w:pPr>
        <w:pStyle w:val="BodyText2"/>
        <w:spacing w:line="360" w:lineRule="auto"/>
      </w:pPr>
    </w:p>
    <w:p w:rsidR="001C0D62" w:rsidRDefault="001C0D62">
      <w:pPr>
        <w:pStyle w:val="BodyText2"/>
        <w:spacing w:line="360" w:lineRule="auto"/>
      </w:pPr>
      <w:r>
        <w:t>Dendrochronology has been used for this research as it is reliable and a widely used application for reconstructing climate history as well as looking at growth rates. The records can span many years and can be collected from many different areas and habitats. It is also a much simpler way of collecting data than other forms of proxy data such as pollen records. As it is considered important in the field of research, comparisons with other sets of data for different areas or different tree species can be made. A large number of samples will be collected to ensure accuracy. The cores themselves are extracted by using a tree-coring device, resulting in no direct damage to the trees, as the cores themselves are so small. These cores can be studied to gain information regarding the response of radial growth to climatic conditions for periods covering many years.</w:t>
      </w:r>
    </w:p>
    <w:p w:rsidR="001C0D62" w:rsidRDefault="001C0D62">
      <w:pPr>
        <w:pStyle w:val="BodyText2"/>
        <w:spacing w:line="360" w:lineRule="auto"/>
      </w:pPr>
      <w:r>
        <w:t xml:space="preserve"> </w:t>
      </w:r>
    </w:p>
    <w:p w:rsidR="001C0D62" w:rsidRDefault="001C0D62">
      <w:pPr>
        <w:pStyle w:val="BodyText2"/>
        <w:spacing w:line="360" w:lineRule="auto"/>
      </w:pPr>
      <w:r>
        <w:t>To assess the impact climate has had on tree growth of various species, the study will look at secondary climatic data sets from the British Meteorological Office for the air temperature (Newton Rigg, Penrith) and precipitation levels (Great Harwood, Lancashire), as this provides the closest records for the area under investigation. This data will be used alongside the tree-ring data to produce a table of results showing the overall annual mean temperature and precipitation levels along with the average tree-ring size (mm), for the three species over a period of 40 years.  The aim of using this data is that trends may be spotted between the climatic records and the tree ring widths. This may also allow responses for particular climatic events to be established. The data may also highlight if some tree species are more resistant to certain climatic conditions than others, whilst some may show to be much more sensitive.</w:t>
      </w:r>
    </w:p>
    <w:p w:rsidR="001C0D62" w:rsidRDefault="001C0D62">
      <w:pPr>
        <w:pStyle w:val="BodyText2"/>
        <w:spacing w:line="360" w:lineRule="auto"/>
      </w:pPr>
    </w:p>
    <w:p w:rsidR="001C0D62" w:rsidRDefault="001C0D62">
      <w:pPr>
        <w:pStyle w:val="BodyText2"/>
        <w:spacing w:line="360" w:lineRule="auto"/>
      </w:pPr>
      <w:r>
        <w:t xml:space="preserve">Although there are some limitations with carrying out this type of research, such as inaccuracies with the coring as well as environmental stress scars and false (missing) rings, it appears to be the best approach for this particular study and should supply a good source of data. </w:t>
      </w:r>
    </w:p>
    <w:p w:rsidR="001C0D62" w:rsidRDefault="001C0D62">
      <w:pPr>
        <w:pStyle w:val="BodyText2"/>
        <w:spacing w:line="360" w:lineRule="auto"/>
      </w:pPr>
    </w:p>
    <w:p w:rsidR="001C0D62" w:rsidRDefault="001C0D62">
      <w:pPr>
        <w:pStyle w:val="BodyText2"/>
        <w:spacing w:line="360" w:lineRule="auto"/>
      </w:pPr>
      <w:r>
        <w:t>The principal reasons for carrying out this study are that the data is easily obtainable within the time frame for this piece of research; in addition it is</w:t>
      </w:r>
      <w:r>
        <w:rPr>
          <w:color w:val="FF0000"/>
        </w:rPr>
        <w:t xml:space="preserve"> </w:t>
      </w:r>
      <w:r>
        <w:t>an environmentally friendly method of data collection. It also allows the collection of data covering 40 years, enabling comparisons not only between the samples of the same trees as they are all from one site, but also between species. The measurements taken from each tree within the study will be compared with precipitation and temperature records for the given area allowing direct comparisons to be made. By concentrating solely on temperature and precipitation, it enables a greater understanding of how certain species respond to the climatic conditions they have been exposed to, in addition to limiting the non-climatic factors to increase accuracy.</w:t>
      </w:r>
    </w:p>
    <w:p w:rsidR="001C0D62" w:rsidRDefault="001C0D62">
      <w:pPr>
        <w:spacing w:line="360" w:lineRule="auto"/>
        <w:rPr>
          <w:rFonts w:ascii="Arial" w:hAnsi="Arial" w:cs="Arial"/>
        </w:rPr>
      </w:pPr>
    </w:p>
    <w:p w:rsidR="001C0D62" w:rsidRDefault="001C0D62">
      <w:pPr>
        <w:spacing w:line="360" w:lineRule="auto"/>
        <w:rPr>
          <w:rFonts w:ascii="Arial" w:hAnsi="Arial" w:cs="Arial"/>
        </w:rPr>
      </w:pPr>
    </w:p>
    <w:p w:rsidR="001C0D62" w:rsidRDefault="001C0D62">
      <w:pPr>
        <w:pStyle w:val="NormalWeb"/>
        <w:pBdr>
          <w:top w:val="single" w:sz="2" w:space="0" w:color="FFFFFF"/>
          <w:left w:val="single" w:sz="2" w:space="0" w:color="FFFFFF"/>
          <w:bottom w:val="single" w:sz="2" w:space="0" w:color="FFFFFF"/>
          <w:right w:val="single" w:sz="2" w:space="0" w:color="FFFFFF"/>
        </w:pBdr>
        <w:spacing w:line="360" w:lineRule="auto"/>
        <w:ind w:right="600"/>
        <w:jc w:val="both"/>
        <w:rPr>
          <w:rFonts w:ascii="Arial" w:hAnsi="Arial" w:cs="Arial"/>
          <w:sz w:val="26"/>
          <w:lang w:val="en"/>
        </w:rPr>
      </w:pPr>
      <w:r>
        <w:rPr>
          <w:rFonts w:ascii="Arial" w:hAnsi="Arial" w:cs="Arial"/>
          <w:b/>
          <w:bCs/>
          <w:sz w:val="26"/>
          <w:u w:val="single"/>
          <w:lang w:val="en"/>
        </w:rPr>
        <w:t>1.2: Aims and objectives</w:t>
      </w:r>
    </w:p>
    <w:p w:rsidR="001C0D62" w:rsidRDefault="001C0D62">
      <w:pPr>
        <w:pStyle w:val="NormalWeb"/>
        <w:spacing w:line="360" w:lineRule="auto"/>
        <w:jc w:val="both"/>
        <w:rPr>
          <w:rFonts w:ascii="Arial" w:hAnsi="Arial" w:cs="Arial"/>
        </w:rPr>
      </w:pPr>
      <w:r>
        <w:rPr>
          <w:rFonts w:ascii="Arial" w:hAnsi="Arial" w:cs="Arial"/>
        </w:rPr>
        <w:t xml:space="preserve">This dissertation will investigate the response of Oak, Beech and Sycamore growth to the climatic conditions experienced when growing. </w:t>
      </w:r>
    </w:p>
    <w:p w:rsidR="001C0D62" w:rsidRDefault="001C0D62">
      <w:pPr>
        <w:pStyle w:val="NormalWeb"/>
        <w:spacing w:line="360" w:lineRule="auto"/>
        <w:jc w:val="both"/>
        <w:rPr>
          <w:rFonts w:ascii="Arial" w:hAnsi="Arial" w:cs="Arial"/>
          <w:u w:val="single"/>
        </w:rPr>
      </w:pPr>
      <w:r>
        <w:rPr>
          <w:rFonts w:ascii="Arial" w:hAnsi="Arial" w:cs="Arial"/>
          <w:u w:val="single"/>
        </w:rPr>
        <w:t>The aims of this dissertation are:</w:t>
      </w:r>
    </w:p>
    <w:p w:rsidR="001C0D62" w:rsidRDefault="001C0D62">
      <w:pPr>
        <w:pStyle w:val="NormalWeb"/>
        <w:numPr>
          <w:ilvl w:val="0"/>
          <w:numId w:val="15"/>
        </w:numPr>
        <w:spacing w:line="360" w:lineRule="auto"/>
        <w:jc w:val="both"/>
        <w:rPr>
          <w:rFonts w:ascii="Arial" w:hAnsi="Arial" w:cs="Arial"/>
        </w:rPr>
      </w:pPr>
      <w:r>
        <w:rPr>
          <w:rFonts w:ascii="Arial" w:hAnsi="Arial" w:cs="Arial"/>
        </w:rPr>
        <w:t xml:space="preserve">To determine if there is a relationship between Oak, Beech and Sycamore radial growth and the climatic conditions (temperature and precipitation) over the last 40 years. </w:t>
      </w:r>
    </w:p>
    <w:p w:rsidR="001C0D62" w:rsidRDefault="001C0D62">
      <w:pPr>
        <w:pStyle w:val="NormalWeb"/>
        <w:numPr>
          <w:ilvl w:val="0"/>
          <w:numId w:val="15"/>
        </w:numPr>
        <w:spacing w:line="360" w:lineRule="auto"/>
        <w:jc w:val="both"/>
        <w:rPr>
          <w:rFonts w:ascii="Arial" w:hAnsi="Arial" w:cs="Arial"/>
        </w:rPr>
      </w:pPr>
      <w:r>
        <w:rPr>
          <w:rFonts w:ascii="Arial" w:hAnsi="Arial" w:cs="Arial"/>
        </w:rPr>
        <w:t>To establish if there are similarities between the three species in terms of radial growth and the climatic conditions.</w:t>
      </w:r>
    </w:p>
    <w:p w:rsidR="001C0D62" w:rsidRDefault="001C0D62">
      <w:pPr>
        <w:pStyle w:val="NormalWeb"/>
        <w:numPr>
          <w:ilvl w:val="0"/>
          <w:numId w:val="15"/>
        </w:numPr>
        <w:spacing w:line="360" w:lineRule="auto"/>
        <w:jc w:val="both"/>
        <w:rPr>
          <w:rFonts w:ascii="Arial" w:hAnsi="Arial" w:cs="Arial"/>
        </w:rPr>
      </w:pPr>
      <w:r>
        <w:rPr>
          <w:rFonts w:ascii="Arial" w:hAnsi="Arial" w:cs="Arial"/>
        </w:rPr>
        <w:t>To see if this data correlates with other studies covering the same species.</w:t>
      </w:r>
    </w:p>
    <w:p w:rsidR="001C0D62" w:rsidRDefault="001C0D62">
      <w:pPr>
        <w:pStyle w:val="NormalWeb"/>
        <w:pBdr>
          <w:top w:val="single" w:sz="2" w:space="0" w:color="FFFFFF"/>
          <w:left w:val="single" w:sz="2" w:space="0" w:color="FFFFFF"/>
          <w:bottom w:val="single" w:sz="2" w:space="0" w:color="FFFFFF"/>
          <w:right w:val="single" w:sz="2" w:space="0" w:color="FFFFFF"/>
        </w:pBdr>
        <w:spacing w:line="360" w:lineRule="auto"/>
        <w:ind w:right="600"/>
        <w:jc w:val="both"/>
        <w:rPr>
          <w:rFonts w:ascii="Arial" w:hAnsi="Arial" w:cs="Arial"/>
        </w:rPr>
      </w:pPr>
    </w:p>
    <w:p w:rsidR="001C0D62" w:rsidRDefault="001C0D62">
      <w:pPr>
        <w:pStyle w:val="NormalWeb"/>
        <w:pBdr>
          <w:top w:val="single" w:sz="2" w:space="0" w:color="FFFFFF"/>
          <w:left w:val="single" w:sz="2" w:space="0" w:color="FFFFFF"/>
          <w:bottom w:val="single" w:sz="2" w:space="0" w:color="FFFFFF"/>
          <w:right w:val="single" w:sz="2" w:space="0" w:color="FFFFFF"/>
        </w:pBdr>
        <w:spacing w:line="360" w:lineRule="auto"/>
        <w:ind w:right="600"/>
        <w:jc w:val="both"/>
        <w:rPr>
          <w:rFonts w:ascii="Arial" w:hAnsi="Arial" w:cs="Arial"/>
        </w:rPr>
      </w:pPr>
    </w:p>
    <w:p w:rsidR="001C0D62" w:rsidRDefault="001C0D62">
      <w:pPr>
        <w:pStyle w:val="NormalWeb"/>
        <w:pBdr>
          <w:top w:val="single" w:sz="2" w:space="0" w:color="FFFFFF"/>
          <w:left w:val="single" w:sz="2" w:space="0" w:color="FFFFFF"/>
          <w:bottom w:val="single" w:sz="2" w:space="0" w:color="FFFFFF"/>
          <w:right w:val="single" w:sz="2" w:space="0" w:color="FFFFFF"/>
        </w:pBdr>
        <w:spacing w:line="360" w:lineRule="auto"/>
        <w:ind w:right="600"/>
        <w:jc w:val="both"/>
        <w:rPr>
          <w:rFonts w:ascii="Arial" w:hAnsi="Arial" w:cs="Arial"/>
        </w:rPr>
      </w:pPr>
    </w:p>
    <w:p w:rsidR="001C0D62" w:rsidRDefault="001C0D62">
      <w:pPr>
        <w:pStyle w:val="NormalWeb"/>
        <w:pBdr>
          <w:top w:val="single" w:sz="2" w:space="0" w:color="FFFFFF"/>
          <w:left w:val="single" w:sz="2" w:space="0" w:color="FFFFFF"/>
          <w:bottom w:val="single" w:sz="2" w:space="0" w:color="FFFFFF"/>
          <w:right w:val="single" w:sz="2" w:space="0" w:color="FFFFFF"/>
        </w:pBdr>
        <w:spacing w:line="360" w:lineRule="auto"/>
        <w:ind w:right="600"/>
        <w:jc w:val="both"/>
        <w:rPr>
          <w:rFonts w:ascii="Arial" w:hAnsi="Arial" w:cs="Arial"/>
        </w:rPr>
      </w:pPr>
    </w:p>
    <w:p w:rsidR="001C0D62" w:rsidRDefault="001C0D62">
      <w:pPr>
        <w:pStyle w:val="NormalWeb"/>
        <w:pBdr>
          <w:top w:val="single" w:sz="2" w:space="0" w:color="FFFFFF"/>
          <w:left w:val="single" w:sz="2" w:space="0" w:color="FFFFFF"/>
          <w:bottom w:val="single" w:sz="2" w:space="0" w:color="FFFFFF"/>
          <w:right w:val="single" w:sz="2" w:space="0" w:color="FFFFFF"/>
        </w:pBdr>
        <w:spacing w:line="360" w:lineRule="auto"/>
        <w:ind w:right="600"/>
        <w:jc w:val="both"/>
        <w:rPr>
          <w:rFonts w:ascii="Arial" w:hAnsi="Arial" w:cs="Arial"/>
        </w:rPr>
      </w:pPr>
    </w:p>
    <w:p w:rsidR="001C0D62" w:rsidRDefault="001C0D62">
      <w:pPr>
        <w:pStyle w:val="NormalWeb"/>
        <w:pBdr>
          <w:top w:val="single" w:sz="2" w:space="0" w:color="FFFFFF"/>
          <w:left w:val="single" w:sz="2" w:space="0" w:color="FFFFFF"/>
          <w:bottom w:val="single" w:sz="2" w:space="0" w:color="FFFFFF"/>
          <w:right w:val="single" w:sz="2" w:space="0" w:color="FFFFFF"/>
        </w:pBdr>
        <w:spacing w:line="360" w:lineRule="auto"/>
        <w:ind w:right="600"/>
        <w:jc w:val="both"/>
        <w:rPr>
          <w:rFonts w:ascii="Arial" w:hAnsi="Arial" w:cs="Arial"/>
        </w:rPr>
      </w:pPr>
    </w:p>
    <w:p w:rsidR="001C0D62" w:rsidRDefault="001C0D62">
      <w:pPr>
        <w:pStyle w:val="NormalWeb"/>
        <w:pBdr>
          <w:top w:val="single" w:sz="2" w:space="0" w:color="FFFFFF"/>
          <w:left w:val="single" w:sz="2" w:space="0" w:color="FFFFFF"/>
          <w:bottom w:val="single" w:sz="2" w:space="0" w:color="FFFFFF"/>
          <w:right w:val="single" w:sz="2" w:space="0" w:color="FFFFFF"/>
        </w:pBdr>
        <w:spacing w:line="360" w:lineRule="auto"/>
        <w:ind w:right="600"/>
        <w:jc w:val="both"/>
        <w:rPr>
          <w:rFonts w:ascii="Arial" w:hAnsi="Arial" w:cs="Arial"/>
        </w:rPr>
      </w:pPr>
      <w:r>
        <w:rPr>
          <w:rFonts w:ascii="Arial" w:hAnsi="Arial" w:cs="Arial"/>
        </w:rPr>
        <w:t>In order to achieve the aims a number of objectives must be completed.</w:t>
      </w:r>
    </w:p>
    <w:p w:rsidR="001C0D62" w:rsidRDefault="001C0D62">
      <w:pPr>
        <w:pStyle w:val="Heading1"/>
        <w:spacing w:line="360" w:lineRule="auto"/>
        <w:jc w:val="both"/>
        <w:rPr>
          <w:b w:val="0"/>
          <w:bCs w:val="0"/>
          <w:sz w:val="24"/>
        </w:rPr>
      </w:pPr>
      <w:r>
        <w:rPr>
          <w:b w:val="0"/>
          <w:bCs w:val="0"/>
          <w:sz w:val="24"/>
        </w:rPr>
        <w:t>The objectives of this dissertation are:</w:t>
      </w:r>
    </w:p>
    <w:p w:rsidR="001C0D62" w:rsidRDefault="001C0D62">
      <w:pPr>
        <w:pStyle w:val="Heading1"/>
        <w:spacing w:line="360" w:lineRule="auto"/>
        <w:rPr>
          <w:b w:val="0"/>
          <w:bCs w:val="0"/>
          <w:sz w:val="24"/>
        </w:rPr>
      </w:pPr>
    </w:p>
    <w:p w:rsidR="001C0D62" w:rsidRDefault="001C0D62">
      <w:pPr>
        <w:pStyle w:val="Heading1"/>
        <w:numPr>
          <w:ilvl w:val="0"/>
          <w:numId w:val="16"/>
        </w:numPr>
        <w:spacing w:line="360" w:lineRule="auto"/>
        <w:jc w:val="both"/>
        <w:rPr>
          <w:b w:val="0"/>
          <w:bCs w:val="0"/>
          <w:sz w:val="24"/>
          <w:u w:val="none"/>
        </w:rPr>
      </w:pPr>
      <w:r>
        <w:rPr>
          <w:b w:val="0"/>
          <w:bCs w:val="0"/>
          <w:sz w:val="24"/>
          <w:u w:val="none"/>
        </w:rPr>
        <w:t>To collect 50 tree core samples of each of the three species of trees, covering a period of 40 years.</w:t>
      </w:r>
    </w:p>
    <w:p w:rsidR="001C0D62" w:rsidRDefault="001C0D62">
      <w:pPr>
        <w:pStyle w:val="Heading1"/>
        <w:numPr>
          <w:ilvl w:val="0"/>
          <w:numId w:val="16"/>
        </w:numPr>
        <w:spacing w:line="360" w:lineRule="auto"/>
        <w:jc w:val="both"/>
        <w:rPr>
          <w:b w:val="0"/>
          <w:bCs w:val="0"/>
          <w:sz w:val="24"/>
          <w:u w:val="none"/>
        </w:rPr>
      </w:pPr>
      <w:r>
        <w:rPr>
          <w:b w:val="0"/>
          <w:bCs w:val="0"/>
          <w:sz w:val="24"/>
          <w:u w:val="none"/>
        </w:rPr>
        <w:t>Following the collection of samples, the ring widths of each sample for each year will need to be measured.</w:t>
      </w:r>
    </w:p>
    <w:p w:rsidR="001C0D62" w:rsidRDefault="001C0D62">
      <w:pPr>
        <w:pStyle w:val="Heading1"/>
        <w:numPr>
          <w:ilvl w:val="0"/>
          <w:numId w:val="16"/>
        </w:numPr>
        <w:spacing w:line="360" w:lineRule="auto"/>
        <w:jc w:val="both"/>
        <w:rPr>
          <w:b w:val="0"/>
          <w:bCs w:val="0"/>
          <w:sz w:val="24"/>
          <w:u w:val="none"/>
        </w:rPr>
      </w:pPr>
      <w:r>
        <w:rPr>
          <w:b w:val="0"/>
          <w:bCs w:val="0"/>
          <w:sz w:val="24"/>
          <w:u w:val="none"/>
        </w:rPr>
        <w:t>Secondary data records of the past temperature and precipitation levels will be accessed from the Meteorological Office.</w:t>
      </w:r>
    </w:p>
    <w:p w:rsidR="001C0D62" w:rsidRDefault="001C0D62">
      <w:pPr>
        <w:pStyle w:val="Heading1"/>
        <w:numPr>
          <w:ilvl w:val="0"/>
          <w:numId w:val="16"/>
        </w:numPr>
        <w:spacing w:line="360" w:lineRule="auto"/>
        <w:jc w:val="both"/>
        <w:rPr>
          <w:b w:val="0"/>
          <w:bCs w:val="0"/>
          <w:sz w:val="24"/>
          <w:u w:val="none"/>
        </w:rPr>
      </w:pPr>
      <w:r>
        <w:rPr>
          <w:b w:val="0"/>
          <w:bCs w:val="0"/>
          <w:sz w:val="24"/>
          <w:u w:val="none"/>
        </w:rPr>
        <w:t>Assess the primary and secondary data by using statistical analysis and tests in order to determine if there are any relationships between radial growth and the climatic conditions prevailing during their formation.</w:t>
      </w:r>
    </w:p>
    <w:p w:rsidR="001C0D62" w:rsidRDefault="001C0D62">
      <w:pPr>
        <w:pStyle w:val="Heading1"/>
        <w:numPr>
          <w:ilvl w:val="0"/>
          <w:numId w:val="16"/>
        </w:numPr>
        <w:spacing w:line="360" w:lineRule="auto"/>
        <w:jc w:val="both"/>
        <w:rPr>
          <w:b w:val="0"/>
          <w:bCs w:val="0"/>
          <w:sz w:val="24"/>
          <w:u w:val="none"/>
        </w:rPr>
      </w:pPr>
      <w:r>
        <w:rPr>
          <w:b w:val="0"/>
          <w:bCs w:val="0"/>
          <w:sz w:val="24"/>
          <w:u w:val="none"/>
        </w:rPr>
        <w:t>To compare the results from this study with other studies looking at the same species.</w:t>
      </w:r>
    </w:p>
    <w:p w:rsidR="001C0D62" w:rsidRDefault="001C0D62">
      <w:pPr>
        <w:spacing w:line="360" w:lineRule="auto"/>
        <w:rPr>
          <w:rFonts w:ascii="Arial" w:hAnsi="Arial" w:cs="Arial"/>
        </w:rPr>
      </w:pPr>
    </w:p>
    <w:p w:rsidR="001C0D62" w:rsidRDefault="001C0D62">
      <w:pPr>
        <w:pStyle w:val="NormalWeb"/>
        <w:pBdr>
          <w:top w:val="single" w:sz="2" w:space="0" w:color="FFFFFF"/>
          <w:left w:val="single" w:sz="2" w:space="0" w:color="FFFFFF"/>
          <w:bottom w:val="single" w:sz="2" w:space="0" w:color="FFFFFF"/>
          <w:right w:val="single" w:sz="2" w:space="0" w:color="FFFFFF"/>
        </w:pBdr>
        <w:spacing w:line="360" w:lineRule="auto"/>
        <w:ind w:right="600"/>
        <w:jc w:val="both"/>
        <w:rPr>
          <w:rFonts w:ascii="Arial" w:hAnsi="Arial" w:cs="Arial"/>
          <w:sz w:val="26"/>
        </w:rPr>
      </w:pPr>
      <w:r>
        <w:rPr>
          <w:rFonts w:ascii="Arial" w:hAnsi="Arial" w:cs="Arial"/>
          <w:b/>
          <w:bCs/>
          <w:sz w:val="26"/>
          <w:u w:val="single"/>
        </w:rPr>
        <w:t>1.3: Hypotheses</w:t>
      </w:r>
    </w:p>
    <w:p w:rsidR="001C0D62" w:rsidRDefault="001C0D62">
      <w:pPr>
        <w:pStyle w:val="NormalWeb"/>
        <w:pBdr>
          <w:top w:val="single" w:sz="2" w:space="0" w:color="FFFFFF"/>
          <w:left w:val="single" w:sz="2" w:space="0" w:color="FFFFFF"/>
          <w:bottom w:val="single" w:sz="2" w:space="0" w:color="FFFFFF"/>
          <w:right w:val="single" w:sz="2" w:space="0" w:color="FFFFFF"/>
        </w:pBdr>
        <w:spacing w:line="360" w:lineRule="auto"/>
        <w:ind w:right="600"/>
        <w:jc w:val="both"/>
        <w:rPr>
          <w:rFonts w:ascii="Arial" w:hAnsi="Arial" w:cs="Arial"/>
        </w:rPr>
      </w:pPr>
      <w:r>
        <w:rPr>
          <w:rFonts w:ascii="Arial" w:hAnsi="Arial" w:cs="Arial"/>
        </w:rPr>
        <w:t>This project will also test a number of hypotheses</w:t>
      </w:r>
    </w:p>
    <w:p w:rsidR="001C0D62" w:rsidRDefault="001C0D62">
      <w:pPr>
        <w:pStyle w:val="NormalWeb"/>
        <w:numPr>
          <w:ilvl w:val="0"/>
          <w:numId w:val="17"/>
        </w:numPr>
        <w:pBdr>
          <w:top w:val="single" w:sz="2" w:space="0" w:color="FFFFFF"/>
          <w:left w:val="single" w:sz="2" w:space="0" w:color="FFFFFF"/>
          <w:bottom w:val="single" w:sz="2" w:space="0" w:color="FFFFFF"/>
          <w:right w:val="single" w:sz="2" w:space="0" w:color="FFFFFF"/>
        </w:pBdr>
        <w:spacing w:line="360" w:lineRule="auto"/>
        <w:ind w:right="600"/>
        <w:jc w:val="both"/>
        <w:rPr>
          <w:rFonts w:ascii="Arial" w:hAnsi="Arial" w:cs="Arial"/>
        </w:rPr>
      </w:pPr>
      <w:r>
        <w:rPr>
          <w:rFonts w:ascii="Arial" w:hAnsi="Arial" w:cs="Arial"/>
        </w:rPr>
        <w:t xml:space="preserve">An increase in radial growth of Sycamore, Beech and Oak will reflect precipitation and temperature levels, which enhance growth. </w:t>
      </w:r>
    </w:p>
    <w:p w:rsidR="001C0D62" w:rsidRDefault="001C0D62">
      <w:pPr>
        <w:pStyle w:val="NormalWeb"/>
        <w:numPr>
          <w:ilvl w:val="0"/>
          <w:numId w:val="17"/>
        </w:numPr>
        <w:pBdr>
          <w:top w:val="single" w:sz="2" w:space="0" w:color="FFFFFF"/>
          <w:left w:val="single" w:sz="2" w:space="0" w:color="FFFFFF"/>
          <w:bottom w:val="single" w:sz="2" w:space="0" w:color="FFFFFF"/>
          <w:right w:val="single" w:sz="2" w:space="0" w:color="FFFFFF"/>
        </w:pBdr>
        <w:spacing w:line="360" w:lineRule="auto"/>
        <w:ind w:right="600"/>
        <w:jc w:val="both"/>
        <w:rPr>
          <w:rFonts w:ascii="Arial" w:hAnsi="Arial" w:cs="Arial"/>
        </w:rPr>
      </w:pPr>
      <w:r>
        <w:rPr>
          <w:rFonts w:ascii="Arial" w:hAnsi="Arial" w:cs="Arial"/>
        </w:rPr>
        <w:t>A decrease in radial growth of Sycamore, Beech and Oak will reflect precipitation and temperature levels, which are detrimental to growth.</w:t>
      </w:r>
    </w:p>
    <w:p w:rsidR="001C0D62" w:rsidRDefault="001C0D62">
      <w:pPr>
        <w:pStyle w:val="NormalWeb"/>
        <w:numPr>
          <w:ilvl w:val="0"/>
          <w:numId w:val="17"/>
        </w:numPr>
        <w:pBdr>
          <w:top w:val="single" w:sz="2" w:space="0" w:color="FFFFFF"/>
          <w:left w:val="single" w:sz="2" w:space="0" w:color="FFFFFF"/>
          <w:bottom w:val="single" w:sz="2" w:space="0" w:color="FFFFFF"/>
          <w:right w:val="single" w:sz="2" w:space="0" w:color="FFFFFF"/>
        </w:pBdr>
        <w:spacing w:line="360" w:lineRule="auto"/>
        <w:ind w:right="600"/>
        <w:jc w:val="both"/>
        <w:rPr>
          <w:rFonts w:ascii="Arial" w:hAnsi="Arial" w:cs="Arial"/>
        </w:rPr>
      </w:pPr>
      <w:r>
        <w:rPr>
          <w:rFonts w:ascii="Arial" w:hAnsi="Arial" w:cs="Arial"/>
        </w:rPr>
        <w:t>Sycamore, Beech and Oak will demonstrate relatively similar responses to the climatic conditions that were present at the time of growth.</w:t>
      </w:r>
    </w:p>
    <w:p w:rsidR="001C0D62" w:rsidRDefault="001C0D62">
      <w:pPr>
        <w:pStyle w:val="Heading2"/>
        <w:jc w:val="left"/>
        <w:rPr>
          <w:b w:val="0"/>
          <w:bCs w:val="0"/>
          <w:sz w:val="24"/>
          <w:u w:val="none"/>
        </w:rPr>
      </w:pPr>
    </w:p>
    <w:p w:rsidR="001C0D62" w:rsidRDefault="001C0D62"/>
    <w:p w:rsidR="001C0D62" w:rsidRDefault="001C0D62">
      <w:pPr>
        <w:pStyle w:val="Heading2"/>
      </w:pPr>
      <w:r>
        <w:t>Chapter 2.0: Literature review</w:t>
      </w:r>
    </w:p>
    <w:p w:rsidR="001C0D62" w:rsidRDefault="001C0D62">
      <w:pPr>
        <w:rPr>
          <w:rFonts w:ascii="Arial" w:hAnsi="Arial" w:cs="Arial"/>
        </w:rPr>
      </w:pPr>
    </w:p>
    <w:p w:rsidR="001C0D62" w:rsidRDefault="001C0D62">
      <w:pPr>
        <w:pStyle w:val="Heading3"/>
        <w:rPr>
          <w:sz w:val="24"/>
        </w:rPr>
      </w:pPr>
    </w:p>
    <w:p w:rsidR="001C0D62" w:rsidRDefault="001C0D62"/>
    <w:p w:rsidR="001C0D62" w:rsidRDefault="001C0D62">
      <w:pPr>
        <w:pStyle w:val="Heading6"/>
        <w:spacing w:line="360" w:lineRule="auto"/>
      </w:pPr>
      <w:r>
        <w:rPr>
          <w:rStyle w:val="apple-converted-space"/>
        </w:rPr>
        <w:t xml:space="preserve">This literature review aims to examine the study of dendrochronology in recent times. It will focus upon studies undertaken by various researchers, into the climatic factors influencing radial growth of different species of trees. Particular attention will be given to studies on Oak, Beech and Sycamore in relation to the impact the climatic conditions have had on their radial growth patterns, as this relates to the aims of this study. Further reference will indicate the other factors that may have an influence on radial growth. </w:t>
      </w:r>
    </w:p>
    <w:p w:rsidR="001C0D62" w:rsidRDefault="001C0D62">
      <w:pPr>
        <w:spacing w:line="360" w:lineRule="auto"/>
      </w:pPr>
    </w:p>
    <w:p w:rsidR="001C0D62" w:rsidRDefault="001C0D62">
      <w:pPr>
        <w:spacing w:line="360" w:lineRule="auto"/>
        <w:rPr>
          <w:rFonts w:ascii="Arial" w:hAnsi="Arial" w:cs="Arial"/>
        </w:rPr>
      </w:pPr>
    </w:p>
    <w:p w:rsidR="001C0D62" w:rsidRDefault="001C0D62">
      <w:pPr>
        <w:spacing w:line="360" w:lineRule="auto"/>
        <w:jc w:val="both"/>
        <w:rPr>
          <w:rFonts w:ascii="Arial" w:hAnsi="Arial" w:cs="Arial"/>
          <w:b/>
          <w:bCs/>
          <w:sz w:val="26"/>
          <w:u w:val="single"/>
        </w:rPr>
      </w:pPr>
      <w:r>
        <w:rPr>
          <w:rFonts w:ascii="Arial" w:hAnsi="Arial" w:cs="Arial"/>
          <w:b/>
          <w:bCs/>
          <w:sz w:val="26"/>
          <w:u w:val="single"/>
        </w:rPr>
        <w:t>2.1: Background of dendrochronology</w:t>
      </w:r>
    </w:p>
    <w:p w:rsidR="001C0D62" w:rsidRDefault="001C0D62">
      <w:pPr>
        <w:pStyle w:val="NormalWeb"/>
        <w:spacing w:line="360" w:lineRule="auto"/>
        <w:jc w:val="both"/>
        <w:rPr>
          <w:rFonts w:ascii="Arial" w:hAnsi="Arial" w:cs="Arial"/>
        </w:rPr>
      </w:pPr>
      <w:r>
        <w:rPr>
          <w:rFonts w:ascii="Arial" w:hAnsi="Arial" w:cs="Arial"/>
        </w:rPr>
        <w:t>The scientific discipline of dendrochronology involves the study of tree rings, which are used for a variety of purposes including ecology, atmospheric sciences, and resource management, which increases our knowledge of the natural world (Speer, 2010). Each ring represents an annual formation, an ecophysiological record, which is dependent upon its conditions during growth and can be dated and used for analysis (Grissino-Mayer, 2010; Orwig &amp; Abrams 1997; Hughes et al 1982; Hughes 2002). Tree diameter growth therefore provides a tool of determining the past climatic conditions, as trees are very sensitive to change.</w:t>
      </w:r>
    </w:p>
    <w:p w:rsidR="001C0D62" w:rsidRDefault="001C0D62">
      <w:pPr>
        <w:pStyle w:val="NormalWeb"/>
        <w:spacing w:line="360" w:lineRule="auto"/>
        <w:jc w:val="both"/>
        <w:rPr>
          <w:rFonts w:ascii="Arial" w:hAnsi="Arial" w:cs="Arial"/>
        </w:rPr>
      </w:pPr>
      <w:r>
        <w:rPr>
          <w:rStyle w:val="apple-converted-space"/>
          <w:rFonts w:ascii="Arial" w:hAnsi="Arial" w:cs="Arial"/>
        </w:rPr>
        <w:t>Tree rings are known to reflect annual climatic information including precipitation and temperature (Orwig &amp; Abrams, 1997). According to Fritts (1965) wide tree rings represent moist and cool climates, whilst narrow rings represent dry and warm conditions (Fritts, 1965). Creber (1977) suggests the rings represent the conditions during the growing season, primarily temperature and precipitation (Creber, 1977).</w:t>
      </w:r>
    </w:p>
    <w:p w:rsidR="001C0D62" w:rsidRDefault="001C0D62">
      <w:pPr>
        <w:spacing w:line="360" w:lineRule="auto"/>
        <w:jc w:val="both"/>
        <w:rPr>
          <w:rFonts w:ascii="Arial" w:hAnsi="Arial" w:cs="Arial"/>
        </w:rPr>
      </w:pPr>
      <w:r>
        <w:rPr>
          <w:rFonts w:ascii="Arial" w:hAnsi="Arial" w:cs="Arial"/>
        </w:rPr>
        <w:t xml:space="preserve">The nature of annual tree rings was recognised as early as 322 BC in </w:t>
      </w:r>
      <w:smartTag w:uri="urn:schemas-microsoft-com:office:smarttags" w:element="country-region">
        <w:smartTag w:uri="urn:schemas-microsoft-com:office:smarttags" w:element="place">
          <w:r>
            <w:rPr>
              <w:rFonts w:ascii="Arial" w:hAnsi="Arial" w:cs="Arial"/>
            </w:rPr>
            <w:t>Greece</w:t>
          </w:r>
        </w:smartTag>
      </w:smartTag>
      <w:r>
        <w:rPr>
          <w:rFonts w:ascii="Arial" w:hAnsi="Arial" w:cs="Arial"/>
        </w:rPr>
        <w:t xml:space="preserve"> by Theophrastus of Erusus, a pupil of Aristotle. However, it was a much later period when dendrochronology was regarded as a scientific discipline.  By the early 1900’s Andrew E. Douglass, who is considered the ‘father’ of the subject, discovered the patterns of annual rings and further developed the principle of cross-dating (Sheppard, 2010: Grissino-Mayer, n.d).</w:t>
      </w: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rPr>
      </w:pPr>
      <w:r>
        <w:rPr>
          <w:rFonts w:ascii="Arial" w:hAnsi="Arial" w:cs="Arial"/>
        </w:rPr>
        <w:t xml:space="preserve">Dendrochronology has been applied to many studies throughout the world with research covering different species. Not only have studies enabled tree ring data from the past to be analysed, but also future patterns and tree responses to climate have been anticipated. </w:t>
      </w: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b/>
          <w:bCs/>
          <w:sz w:val="26"/>
          <w:u w:val="single"/>
        </w:rPr>
      </w:pPr>
      <w:r>
        <w:rPr>
          <w:rFonts w:ascii="Arial" w:hAnsi="Arial" w:cs="Arial"/>
          <w:b/>
          <w:bCs/>
          <w:sz w:val="26"/>
          <w:u w:val="single"/>
        </w:rPr>
        <w:t>2.2: Uncertainties in dendrochronology</w:t>
      </w:r>
    </w:p>
    <w:p w:rsidR="001C0D62" w:rsidRDefault="001C0D62">
      <w:pPr>
        <w:spacing w:line="360" w:lineRule="auto"/>
        <w:jc w:val="both"/>
        <w:rPr>
          <w:rFonts w:ascii="Arial" w:hAnsi="Arial" w:cs="Arial"/>
          <w:b/>
          <w:bCs/>
          <w:u w:val="single"/>
        </w:rPr>
      </w:pPr>
    </w:p>
    <w:p w:rsidR="001C0D62" w:rsidRDefault="001C0D62">
      <w:pPr>
        <w:spacing w:line="360" w:lineRule="auto"/>
        <w:jc w:val="both"/>
        <w:rPr>
          <w:rFonts w:ascii="Arial" w:hAnsi="Arial" w:cs="Arial"/>
        </w:rPr>
      </w:pPr>
      <w:r>
        <w:rPr>
          <w:rFonts w:ascii="Arial" w:hAnsi="Arial" w:cs="Arial"/>
        </w:rPr>
        <w:t>Despite dendrochronology providing valuable information there are still limitations and uncertainties with this application. The growth of trees can be variable, not just between species but affected by other controlling factors (biological including tree age, pests and diseases etc.) in addition to climate. Some may enhance growth, whilst others may result in depressed growth and in more extreme cases growth may cease altogether (Creber 1977; Robinson &amp; Henderson-Sellers 1999). Hughes et al (1982) noted that radial growth responses may vary significantly with climatic and site conditions and the inherited capabilities of tree species (Hughes et al, 1982).  Although generally one ring is produced each year, extreme climatic conditions which subject the tree to variable growth, can result in no growth ring or the production of a false ring. Once the weather improves growth resumes producing a second ring during the same year (Williams et al, 1993), for example when severe drought interrupts the radial growth (Esau, 1965), which may result in inaccuracies in dating the tree rings.</w:t>
      </w: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b/>
          <w:bCs/>
          <w:sz w:val="26"/>
          <w:u w:val="single"/>
        </w:rPr>
      </w:pPr>
      <w:r>
        <w:rPr>
          <w:rFonts w:ascii="Arial" w:hAnsi="Arial" w:cs="Arial"/>
          <w:b/>
          <w:bCs/>
          <w:sz w:val="26"/>
          <w:u w:val="single"/>
        </w:rPr>
        <w:t>2.3: The influence of previous climatic conditions on radial growth</w:t>
      </w:r>
    </w:p>
    <w:p w:rsidR="001C0D62" w:rsidRDefault="001C0D62">
      <w:pPr>
        <w:spacing w:line="360" w:lineRule="auto"/>
        <w:jc w:val="both"/>
        <w:rPr>
          <w:rFonts w:ascii="Arial" w:hAnsi="Arial" w:cs="Arial"/>
          <w:b/>
          <w:bCs/>
          <w:u w:val="single"/>
        </w:rPr>
      </w:pPr>
    </w:p>
    <w:p w:rsidR="001C0D62" w:rsidRDefault="001C0D62">
      <w:pPr>
        <w:spacing w:line="360" w:lineRule="auto"/>
        <w:jc w:val="both"/>
        <w:rPr>
          <w:rFonts w:ascii="Arial" w:hAnsi="Arial" w:cs="Arial"/>
        </w:rPr>
      </w:pPr>
      <w:r>
        <w:rPr>
          <w:rFonts w:ascii="Arial" w:hAnsi="Arial" w:cs="Arial"/>
        </w:rPr>
        <w:t>A number of studies provide empirical evidence that ring widths depend upon the microclimatic conditions of the year of growth (Breda &amp; Granier 1996; Corcuera et al 2004), however other studies have shown that the preceding years have an effect (Rigling et al 2002; Fonti &amp; Garcia-Gonzalez 2004).</w:t>
      </w:r>
      <w:r>
        <w:rPr>
          <w:rFonts w:ascii="Arial" w:hAnsi="Arial" w:cs="Arial"/>
          <w:color w:val="0000FF"/>
        </w:rPr>
        <w:t xml:space="preserve"> </w:t>
      </w:r>
      <w:r>
        <w:rPr>
          <w:rFonts w:ascii="Arial" w:hAnsi="Arial" w:cs="Arial"/>
        </w:rPr>
        <w:t xml:space="preserve">A study by Fritts (1965) discovered that climatic conditions influencing ring width may also influence other processes, which can present themselves up to three years later in the formation of wide or narrow rings (Fritts, 1965). Fritts et al (1965b) propose the width of rings is largely a function of available food supplies that have accumulated in the previous year (Fritts et al, 1965b). Other research suggests that radial growth is dependent on growth during the previous year(s). Findings indicated that the ring width reflected previous growth of up to three years, but however the dominant factor was found to be precipitation during the growing season (Pilcher &amp; Gray, 1982). Hughes et al (1982) also noted that ring width response may not only be for that particular year of ring formation but that there is a theoretical lag time (Hughes et al, 1982).  </w:t>
      </w: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b/>
          <w:bCs/>
          <w:sz w:val="26"/>
          <w:u w:val="single"/>
        </w:rPr>
      </w:pPr>
      <w:r>
        <w:rPr>
          <w:rFonts w:ascii="Arial" w:hAnsi="Arial" w:cs="Arial"/>
          <w:b/>
          <w:bCs/>
          <w:sz w:val="26"/>
          <w:u w:val="single"/>
        </w:rPr>
        <w:t>2.4: The influence of temperature on radial growth</w:t>
      </w:r>
    </w:p>
    <w:p w:rsidR="001C0D62" w:rsidRDefault="001C0D62">
      <w:pPr>
        <w:spacing w:line="360" w:lineRule="auto"/>
        <w:jc w:val="both"/>
        <w:rPr>
          <w:rFonts w:ascii="Arial" w:hAnsi="Arial" w:cs="Arial"/>
          <w:b/>
          <w:bCs/>
          <w:u w:val="single"/>
        </w:rPr>
      </w:pPr>
    </w:p>
    <w:p w:rsidR="001C0D62" w:rsidRDefault="001C0D62">
      <w:pPr>
        <w:spacing w:line="360" w:lineRule="auto"/>
        <w:jc w:val="both"/>
        <w:rPr>
          <w:rFonts w:ascii="Arial" w:hAnsi="Arial" w:cs="Arial"/>
          <w:color w:val="000000"/>
          <w:lang w:val="en"/>
        </w:rPr>
      </w:pPr>
      <w:r>
        <w:rPr>
          <w:rFonts w:ascii="Arial" w:hAnsi="Arial" w:cs="Arial"/>
        </w:rPr>
        <w:t xml:space="preserve">A very important factor is temperature. </w:t>
      </w:r>
      <w:hyperlink r:id="rId10" w:anchor="ref-9" w:history="1">
        <w:r>
          <w:rPr>
            <w:rStyle w:val="slug-issue"/>
            <w:rFonts w:ascii="Arial" w:hAnsi="Arial" w:cs="Arial"/>
            <w:lang w:val="en"/>
          </w:rPr>
          <w:t>Way and Oren (2010)</w:t>
        </w:r>
      </w:hyperlink>
      <w:r>
        <w:rPr>
          <w:rFonts w:ascii="Arial" w:hAnsi="Arial" w:cs="Arial"/>
          <w:color w:val="000000"/>
          <w:lang w:val="en"/>
        </w:rPr>
        <w:t xml:space="preserve"> found that increased temperature generally increases tree growth, except for tropical trees; suggesting this is due to the tropical trees already operating at their optimum temperature (Way &amp; Oren 2010). </w:t>
      </w:r>
    </w:p>
    <w:p w:rsidR="001C0D62" w:rsidRDefault="001C0D62">
      <w:pPr>
        <w:spacing w:line="360" w:lineRule="auto"/>
        <w:jc w:val="both"/>
        <w:rPr>
          <w:rFonts w:ascii="Arial" w:hAnsi="Arial" w:cs="Arial"/>
          <w:color w:val="000000"/>
          <w:lang w:val="en"/>
        </w:rPr>
      </w:pPr>
    </w:p>
    <w:p w:rsidR="001C0D62" w:rsidRDefault="001C0D62">
      <w:pPr>
        <w:spacing w:line="360" w:lineRule="auto"/>
        <w:jc w:val="both"/>
        <w:rPr>
          <w:rFonts w:ascii="Arial" w:hAnsi="Arial" w:cs="Arial"/>
          <w:szCs w:val="18"/>
        </w:rPr>
      </w:pPr>
      <w:r>
        <w:rPr>
          <w:rFonts w:ascii="Arial" w:hAnsi="Arial" w:cs="Arial"/>
          <w:color w:val="000000"/>
          <w:lang w:val="en"/>
        </w:rPr>
        <w:t xml:space="preserve">Although there are a large number of studies suggesting a strong relationship between tree ring widths and temperature (Zweifel et al, 2006), </w:t>
      </w:r>
      <w:r>
        <w:rPr>
          <w:rFonts w:ascii="Arial" w:hAnsi="Arial" w:cs="Arial"/>
          <w:lang w:val="en"/>
        </w:rPr>
        <w:t>others show conflicting evidence.</w:t>
      </w:r>
      <w:r>
        <w:rPr>
          <w:rFonts w:ascii="Arial" w:hAnsi="Arial" w:cs="Arial"/>
          <w:color w:val="FF0000"/>
          <w:lang w:val="en"/>
        </w:rPr>
        <w:t xml:space="preserve"> </w:t>
      </w:r>
      <w:r>
        <w:rPr>
          <w:rFonts w:ascii="Arial" w:hAnsi="Arial" w:cs="Arial"/>
          <w:lang w:val="en"/>
        </w:rPr>
        <w:t>A study undertaken by Gea-Izquierdo et al (2011) showed that Evergreen Oak (</w:t>
      </w:r>
      <w:r>
        <w:rPr>
          <w:rFonts w:ascii="Arial" w:hAnsi="Arial" w:cs="Arial"/>
          <w:i/>
          <w:iCs/>
          <w:szCs w:val="18"/>
        </w:rPr>
        <w:t>Quercus ilex</w:t>
      </w:r>
      <w:r>
        <w:rPr>
          <w:rFonts w:ascii="Arial" w:hAnsi="Arial" w:cs="Arial"/>
          <w:szCs w:val="18"/>
        </w:rPr>
        <w:t xml:space="preserve"> L) tended to have growth decline at warmer sites within the study area, possibly due to water stress. Those sampled in cooler locations didn’t show any negative growth, suggesting this particular species in this particular location may benefit from cooler winter temperatures. These trees also showed varied responses with precipitation, such as those at the warmer locations responding more to the moisture availability (Gea-Izquierdo et al, 2011).</w:t>
      </w:r>
    </w:p>
    <w:p w:rsidR="001C0D62" w:rsidRDefault="001C0D62">
      <w:pPr>
        <w:spacing w:line="360" w:lineRule="auto"/>
        <w:jc w:val="both"/>
        <w:rPr>
          <w:rFonts w:ascii="Arial" w:hAnsi="Arial" w:cs="Arial"/>
          <w:lang w:val="en"/>
        </w:rPr>
      </w:pPr>
    </w:p>
    <w:p w:rsidR="001C0D62" w:rsidRDefault="001C0D62">
      <w:pPr>
        <w:spacing w:line="360" w:lineRule="auto"/>
        <w:jc w:val="both"/>
        <w:rPr>
          <w:rFonts w:ascii="Arial" w:hAnsi="Arial" w:cs="Arial"/>
          <w:szCs w:val="18"/>
        </w:rPr>
      </w:pPr>
      <w:r>
        <w:rPr>
          <w:rFonts w:ascii="Arial" w:hAnsi="Arial" w:cs="Arial"/>
          <w:lang w:val="en"/>
        </w:rPr>
        <w:t>Takahashi et al (2005) found that species of Birch (</w:t>
      </w:r>
      <w:r>
        <w:rPr>
          <w:rFonts w:ascii="Arial" w:hAnsi="Arial" w:cs="Arial"/>
          <w:i/>
          <w:iCs/>
          <w:szCs w:val="18"/>
        </w:rPr>
        <w:t>Betula ermanii</w:t>
      </w:r>
      <w:r>
        <w:rPr>
          <w:rFonts w:ascii="Arial" w:hAnsi="Arial" w:cs="Arial"/>
          <w:szCs w:val="18"/>
        </w:rPr>
        <w:t xml:space="preserve">) in Mount Norikura, Japan, showed increased radial growth when there were higher levels of insolation, combined with high temperatures at the same time as less precipitation. Comparisons of these results were made with other sites and the findings highlighted that the climatic factors that increased the growth of </w:t>
      </w:r>
      <w:r>
        <w:rPr>
          <w:rFonts w:ascii="Arial" w:hAnsi="Arial" w:cs="Arial"/>
          <w:i/>
          <w:iCs/>
          <w:szCs w:val="18"/>
        </w:rPr>
        <w:t>B. ermanii</w:t>
      </w:r>
      <w:r>
        <w:rPr>
          <w:rFonts w:ascii="Arial" w:hAnsi="Arial" w:cs="Arial"/>
          <w:szCs w:val="18"/>
        </w:rPr>
        <w:t xml:space="preserve"> differed with altitude (Takahashi et al, 2005).</w:t>
      </w:r>
    </w:p>
    <w:p w:rsidR="001C0D62" w:rsidRDefault="001C0D62">
      <w:pPr>
        <w:spacing w:line="360" w:lineRule="auto"/>
        <w:jc w:val="both"/>
        <w:rPr>
          <w:rFonts w:ascii="Arial" w:hAnsi="Arial" w:cs="Arial"/>
          <w:szCs w:val="18"/>
        </w:rPr>
      </w:pPr>
    </w:p>
    <w:p w:rsidR="001C0D62" w:rsidRDefault="001C0D62">
      <w:pPr>
        <w:spacing w:line="360" w:lineRule="auto"/>
        <w:jc w:val="both"/>
        <w:rPr>
          <w:rFonts w:ascii="Arial" w:hAnsi="Arial" w:cs="Arial"/>
        </w:rPr>
      </w:pPr>
      <w:r>
        <w:rPr>
          <w:rFonts w:ascii="Arial" w:hAnsi="Arial" w:cs="Arial"/>
        </w:rPr>
        <w:t xml:space="preserve">A study by Kirchefer (2000) showed radial growth of Scots pine was strongly correlated with July temperatures in </w:t>
      </w:r>
      <w:smartTag w:uri="urn:schemas-microsoft-com:office:smarttags" w:element="place">
        <w:r>
          <w:rPr>
            <w:rFonts w:ascii="Arial" w:hAnsi="Arial" w:cs="Arial"/>
          </w:rPr>
          <w:t>Northern Norway</w:t>
        </w:r>
      </w:smartTag>
      <w:r>
        <w:rPr>
          <w:rFonts w:ascii="Arial" w:hAnsi="Arial" w:cs="Arial"/>
        </w:rPr>
        <w:t>. Results also tended to show that aspect had an influence, as the trees located in south-facing slopes had more direct sunlight than north-facing slopes, therefore resulting in larger growth levels on the south-facing slopes (Kirchhefer, 2000).</w:t>
      </w: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szCs w:val="18"/>
        </w:rPr>
      </w:pPr>
      <w:r>
        <w:rPr>
          <w:rFonts w:ascii="Arial" w:hAnsi="Arial" w:cs="Arial"/>
        </w:rPr>
        <w:t xml:space="preserve">Investigations of </w:t>
      </w:r>
      <w:r>
        <w:rPr>
          <w:rFonts w:ascii="Arial" w:hAnsi="Arial" w:cs="Arial"/>
          <w:i/>
          <w:iCs/>
        </w:rPr>
        <w:t xml:space="preserve">P.sylvestris </w:t>
      </w:r>
      <w:r>
        <w:rPr>
          <w:rFonts w:ascii="Arial" w:hAnsi="Arial" w:cs="Arial"/>
        </w:rPr>
        <w:t xml:space="preserve">(Scots Pine) in </w:t>
      </w:r>
      <w:smartTag w:uri="urn:schemas-microsoft-com:office:smarttags" w:element="country-region">
        <w:smartTag w:uri="urn:schemas-microsoft-com:office:smarttags" w:element="place">
          <w:r>
            <w:rPr>
              <w:rFonts w:ascii="Arial" w:hAnsi="Arial" w:cs="Arial"/>
            </w:rPr>
            <w:t>Switzerland</w:t>
          </w:r>
        </w:smartTag>
      </w:smartTag>
      <w:r>
        <w:rPr>
          <w:rFonts w:ascii="Arial" w:hAnsi="Arial" w:cs="Arial"/>
        </w:rPr>
        <w:t xml:space="preserve"> highlighted a significant negative correlation between radial growth and June temperatures, compared to a positive relationship for November for the previous year (Rigling et al, 2002). Equally, Zweifel et al (2006) discovered that </w:t>
      </w:r>
      <w:r>
        <w:rPr>
          <w:rFonts w:ascii="Arial" w:hAnsi="Arial" w:cs="Arial"/>
          <w:i/>
          <w:iCs/>
        </w:rPr>
        <w:t>P.sylvestris</w:t>
      </w:r>
      <w:r>
        <w:rPr>
          <w:rFonts w:ascii="Arial" w:hAnsi="Arial" w:cs="Arial"/>
        </w:rPr>
        <w:t xml:space="preserve"> and</w:t>
      </w:r>
      <w:r>
        <w:rPr>
          <w:rFonts w:ascii="Arial" w:hAnsi="Arial" w:cs="Arial"/>
          <w:i/>
          <w:iCs/>
        </w:rPr>
        <w:t xml:space="preserve"> Pinus abies</w:t>
      </w:r>
      <w:r>
        <w:rPr>
          <w:rFonts w:ascii="Arial" w:hAnsi="Arial" w:cs="Arial"/>
        </w:rPr>
        <w:t xml:space="preserve"> (Norway Spruce) are able to show different responses to increased temperatures. Whilst high summer temperatures result in the trees suffering stress, warmer winter temperatures can enhance growth (Zweifel et al, 2006).</w:t>
      </w:r>
    </w:p>
    <w:p w:rsidR="001C0D62" w:rsidRDefault="001C0D62">
      <w:pPr>
        <w:spacing w:line="360" w:lineRule="auto"/>
        <w:jc w:val="both"/>
        <w:rPr>
          <w:rFonts w:ascii="Arial" w:hAnsi="Arial" w:cs="Arial"/>
          <w:szCs w:val="18"/>
        </w:rPr>
      </w:pPr>
    </w:p>
    <w:p w:rsidR="001C0D62" w:rsidRDefault="001C0D62">
      <w:pPr>
        <w:spacing w:line="360" w:lineRule="auto"/>
        <w:jc w:val="both"/>
        <w:rPr>
          <w:rFonts w:ascii="Arial" w:hAnsi="Arial" w:cs="Arial"/>
          <w:szCs w:val="18"/>
        </w:rPr>
      </w:pPr>
      <w:r>
        <w:rPr>
          <w:rFonts w:ascii="Arial" w:hAnsi="Arial" w:cs="Arial"/>
          <w:szCs w:val="18"/>
        </w:rPr>
        <w:t xml:space="preserve">Research carried out by Rozas &amp; García-González (2012) highlighted that the most limiting factor for latewood growth in the northwest </w:t>
      </w:r>
      <w:smartTag w:uri="urn:schemas-microsoft-com:office:smarttags" w:element="place">
        <w:r>
          <w:rPr>
            <w:rFonts w:ascii="Arial" w:hAnsi="Arial" w:cs="Arial"/>
            <w:szCs w:val="18"/>
          </w:rPr>
          <w:t>Iberian Peninsula</w:t>
        </w:r>
      </w:smartTag>
      <w:r>
        <w:rPr>
          <w:rFonts w:ascii="Arial" w:hAnsi="Arial" w:cs="Arial"/>
          <w:szCs w:val="18"/>
        </w:rPr>
        <w:t xml:space="preserve"> since 1980 was the winter temperature. The winter temperature as well as the influence of the </w:t>
      </w:r>
      <w:r>
        <w:rPr>
          <w:rStyle w:val="st1"/>
          <w:rFonts w:ascii="Arial" w:hAnsi="Arial" w:cs="Arial"/>
          <w:color w:val="222222"/>
          <w:lang w:val="en-GB"/>
        </w:rPr>
        <w:t>El Niño Southern Oscillation (</w:t>
      </w:r>
      <w:r>
        <w:rPr>
          <w:rFonts w:ascii="Arial" w:hAnsi="Arial" w:cs="Arial"/>
          <w:szCs w:val="18"/>
        </w:rPr>
        <w:t>ENSO) was an important factor influencing tree growth, even with mild Atlantic climates (Rozas &amp; García-González, 2012).</w:t>
      </w:r>
    </w:p>
    <w:p w:rsidR="001C0D62" w:rsidRDefault="001C0D62">
      <w:pPr>
        <w:spacing w:line="360" w:lineRule="auto"/>
        <w:jc w:val="both"/>
        <w:rPr>
          <w:rFonts w:ascii="Arial" w:hAnsi="Arial" w:cs="Arial"/>
          <w:szCs w:val="18"/>
        </w:rPr>
      </w:pPr>
    </w:p>
    <w:p w:rsidR="001C0D62" w:rsidRDefault="001C0D62">
      <w:pPr>
        <w:spacing w:line="360" w:lineRule="auto"/>
        <w:jc w:val="both"/>
        <w:rPr>
          <w:rFonts w:ascii="Arial" w:hAnsi="Arial" w:cs="Arial"/>
          <w:b/>
          <w:bCs/>
          <w:sz w:val="26"/>
          <w:u w:val="single"/>
        </w:rPr>
      </w:pPr>
      <w:r>
        <w:rPr>
          <w:rFonts w:ascii="Arial" w:hAnsi="Arial" w:cs="Arial"/>
          <w:b/>
          <w:bCs/>
          <w:sz w:val="26"/>
          <w:u w:val="single"/>
        </w:rPr>
        <w:t>2.5: The influence of drought on radial growth</w:t>
      </w:r>
    </w:p>
    <w:p w:rsidR="001C0D62" w:rsidRDefault="001C0D62">
      <w:pPr>
        <w:spacing w:line="360" w:lineRule="auto"/>
        <w:jc w:val="both"/>
        <w:rPr>
          <w:rFonts w:ascii="Arial" w:hAnsi="Arial" w:cs="Arial"/>
          <w:b/>
          <w:bCs/>
          <w:u w:val="single"/>
        </w:rPr>
      </w:pPr>
    </w:p>
    <w:p w:rsidR="001C0D62" w:rsidRDefault="001C0D62">
      <w:pPr>
        <w:spacing w:line="360" w:lineRule="auto"/>
        <w:jc w:val="both"/>
        <w:rPr>
          <w:rFonts w:ascii="Arial" w:hAnsi="Arial" w:cs="Arial"/>
        </w:rPr>
      </w:pPr>
      <w:r>
        <w:rPr>
          <w:rFonts w:ascii="Arial" w:hAnsi="Arial" w:cs="Arial"/>
        </w:rPr>
        <w:t>“Water is the most limiting ecological resource for most tree and forest sites” (Coder &amp; Warnell, 1999). With reduced water availability the trees undergo stress, growth is severely affected and the result is damage and death in some cases. Coder &amp; Warnell (1999) found water supply accounted for around eighty percent of variation in growth. Trees have, in a lot of cases attempted to deal with this situation by using food storage reserves, closing off root activities etc, but it still has the potential to have an effect on the annual ring widths. It is also worth noting that this growth is constrained not only by the current year but also the previous year’s water supply.</w:t>
      </w:r>
      <w:r>
        <w:rPr>
          <w:rFonts w:ascii="Arial" w:hAnsi="Arial" w:cs="Arial"/>
          <w:color w:val="00FF00"/>
        </w:rPr>
        <w:t xml:space="preserve"> </w:t>
      </w:r>
      <w:r>
        <w:rPr>
          <w:rFonts w:ascii="Arial" w:hAnsi="Arial" w:cs="Arial"/>
        </w:rPr>
        <w:t>This delayed response is due to the impact of the drought on crown development, food production and tree health (Coder &amp; Warnell, 1999).</w:t>
      </w:r>
    </w:p>
    <w:p w:rsidR="001C0D62" w:rsidRDefault="001C0D62">
      <w:pPr>
        <w:pStyle w:val="NormalWeb"/>
        <w:spacing w:line="360" w:lineRule="auto"/>
        <w:jc w:val="both"/>
        <w:rPr>
          <w:rFonts w:ascii="Arial" w:hAnsi="Arial" w:cs="Arial"/>
        </w:rPr>
      </w:pPr>
      <w:r>
        <w:rPr>
          <w:rFonts w:ascii="Arial" w:hAnsi="Arial" w:cs="Arial"/>
        </w:rPr>
        <w:t>Zweifel et al (2006), believe however that radial growth rates are mainly determined by the conditions during the year of growth, but agree that less growth represents a lower water supply to the crown, causing increased tree water deficits (Zweifel et al, 2006).</w:t>
      </w:r>
    </w:p>
    <w:p w:rsidR="001C0D62" w:rsidRDefault="001C0D62">
      <w:pPr>
        <w:pStyle w:val="NormalWeb"/>
        <w:spacing w:line="360" w:lineRule="auto"/>
        <w:jc w:val="both"/>
        <w:rPr>
          <w:rFonts w:ascii="Arial" w:hAnsi="Arial" w:cs="Arial"/>
          <w:color w:val="FF0000"/>
        </w:rPr>
      </w:pPr>
      <w:r>
        <w:rPr>
          <w:rFonts w:ascii="Arial" w:hAnsi="Arial" w:cs="Arial"/>
        </w:rPr>
        <w:t>A study undertaken by Orwig &amp; Abrams (1997) discovered a large radial growth reduction following drought, with some exhibiting this suppressed growth up to five years following the event (Orwig &amp; Abrams, 1997), with differing responses being influenced by a number of factors such as age and competition (Fritts, 1976). For example, with age, internal processes within the tree are responsible for producing narrower rings (Briffa et al, 2002).</w:t>
      </w:r>
    </w:p>
    <w:p w:rsidR="001C0D62" w:rsidRDefault="001C0D62">
      <w:pPr>
        <w:spacing w:line="360" w:lineRule="auto"/>
        <w:jc w:val="both"/>
        <w:rPr>
          <w:rFonts w:ascii="Arial" w:hAnsi="Arial" w:cs="Arial"/>
        </w:rPr>
      </w:pPr>
      <w:r>
        <w:rPr>
          <w:rFonts w:ascii="Arial" w:hAnsi="Arial" w:cs="Arial"/>
        </w:rPr>
        <w:t>Another important factor affecting the response of a tree to drought is if the tree has previously suffered drought conditions, as those that have, show less injury than those newly exposed. The effects of drought can often result in reduced growth for some subsequent years (Coder &amp; Warnell, 1999).</w:t>
      </w: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rPr>
      </w:pPr>
      <w:r>
        <w:rPr>
          <w:rFonts w:ascii="Arial" w:hAnsi="Arial" w:cs="Arial"/>
        </w:rPr>
        <w:t>Research by Zweifel et al (2006) supports this. Three species (</w:t>
      </w:r>
      <w:r>
        <w:rPr>
          <w:rFonts w:ascii="Arial" w:hAnsi="Arial" w:cs="Arial"/>
          <w:i/>
          <w:iCs/>
        </w:rPr>
        <w:t xml:space="preserve">Quercus pubescens – </w:t>
      </w:r>
      <w:r>
        <w:rPr>
          <w:rFonts w:ascii="Arial" w:hAnsi="Arial" w:cs="Arial"/>
        </w:rPr>
        <w:t>Pubescent Oak</w:t>
      </w:r>
      <w:r>
        <w:rPr>
          <w:rFonts w:ascii="Arial" w:hAnsi="Arial" w:cs="Arial"/>
          <w:i/>
          <w:iCs/>
        </w:rPr>
        <w:t xml:space="preserve">, Pinus sylvestris – </w:t>
      </w:r>
      <w:r>
        <w:rPr>
          <w:rFonts w:ascii="Arial" w:hAnsi="Arial" w:cs="Arial"/>
        </w:rPr>
        <w:t>Scots Pine and</w:t>
      </w:r>
      <w:r>
        <w:rPr>
          <w:rFonts w:ascii="Arial" w:hAnsi="Arial" w:cs="Arial"/>
          <w:i/>
          <w:iCs/>
        </w:rPr>
        <w:t xml:space="preserve"> Picea abies</w:t>
      </w:r>
      <w:r>
        <w:rPr>
          <w:rFonts w:ascii="Arial" w:hAnsi="Arial" w:cs="Arial"/>
        </w:rPr>
        <w:t xml:space="preserve"> – Norway spruce) were studied between 2002-2004, coinciding with the exceptionally hot and dry year of 2003. Precipitation was considered to be the only factor responsible for radial growth patterns for all the species with 2003 resulting in smaller tree rings in all species compared with the previous year. Both</w:t>
      </w:r>
      <w:r>
        <w:rPr>
          <w:rFonts w:ascii="Arial" w:hAnsi="Arial" w:cs="Arial"/>
          <w:color w:val="FF0000"/>
        </w:rPr>
        <w:t xml:space="preserve"> </w:t>
      </w:r>
      <w:r>
        <w:rPr>
          <w:rFonts w:ascii="Arial" w:hAnsi="Arial" w:cs="Arial"/>
          <w:i/>
          <w:iCs/>
        </w:rPr>
        <w:t>Q.pubescens</w:t>
      </w:r>
      <w:r>
        <w:rPr>
          <w:rFonts w:ascii="Arial" w:hAnsi="Arial" w:cs="Arial"/>
        </w:rPr>
        <w:t xml:space="preserve"> and </w:t>
      </w:r>
      <w:r>
        <w:rPr>
          <w:rFonts w:ascii="Arial" w:hAnsi="Arial" w:cs="Arial"/>
          <w:i/>
          <w:iCs/>
        </w:rPr>
        <w:t>P.sylvestris</w:t>
      </w:r>
      <w:r>
        <w:rPr>
          <w:rFonts w:ascii="Arial" w:hAnsi="Arial" w:cs="Arial"/>
        </w:rPr>
        <w:t xml:space="preserve"> were highly responsive to precipitation during the growing season, with larger ring widths resulting from increased levels of precipitation. However, 90% of the growth rate occurred between April and June, with minimal growth occurring outside of these months, despite the climatic condition</w:t>
      </w:r>
      <w:r>
        <w:rPr>
          <w:rFonts w:ascii="Arial" w:hAnsi="Arial" w:cs="Arial"/>
          <w:i/>
          <w:iCs/>
        </w:rPr>
        <w:t>.</w:t>
      </w:r>
      <w:r>
        <w:rPr>
          <w:rFonts w:ascii="Arial" w:hAnsi="Arial" w:cs="Arial"/>
        </w:rPr>
        <w:t xml:space="preserve"> During dry periods</w:t>
      </w:r>
      <w:r>
        <w:rPr>
          <w:rFonts w:ascii="Arial" w:hAnsi="Arial" w:cs="Arial"/>
          <w:color w:val="FF0000"/>
        </w:rPr>
        <w:t xml:space="preserve"> </w:t>
      </w:r>
      <w:r>
        <w:rPr>
          <w:rFonts w:ascii="Arial" w:hAnsi="Arial" w:cs="Arial"/>
        </w:rPr>
        <w:t>growth rates accelerated with</w:t>
      </w:r>
      <w:r>
        <w:rPr>
          <w:rFonts w:ascii="Arial" w:hAnsi="Arial" w:cs="Arial"/>
          <w:color w:val="FF0000"/>
        </w:rPr>
        <w:t xml:space="preserve"> </w:t>
      </w:r>
      <w:r>
        <w:rPr>
          <w:rFonts w:ascii="Arial" w:hAnsi="Arial" w:cs="Arial"/>
        </w:rPr>
        <w:t>low precipitation. Radial growth at the various sites in 2003 reflected the climatic conditions of that particular year, with the previous year (2002) being unlikely to inhibit the following years growth. However, although the growth of 2003 was not influenced by the conditions of 2002, 2004 appeared to have been influenced by the previous year of 2003. Despite the microclimatic factors being similar to the wide ring year of 2002, 2004 resulted in a narrow ring. However, 2004 had less precipitation, highlighting the necessity of rain during the growing season (Zweifel et al, 2006), as can be seen in other research (Rigling et al 2001; 2002). Small precipitation amounts are able to accelerate growth despite a large water deficit</w:t>
      </w:r>
      <w:r>
        <w:rPr>
          <w:rFonts w:ascii="Arial" w:hAnsi="Arial" w:cs="Arial"/>
          <w:color w:val="FF0000"/>
        </w:rPr>
        <w:t xml:space="preserve"> </w:t>
      </w:r>
      <w:r>
        <w:rPr>
          <w:rFonts w:ascii="Arial" w:hAnsi="Arial" w:cs="Arial"/>
        </w:rPr>
        <w:t xml:space="preserve">(Zweifel et al, 2005). The precipitation results in a release of pressure within the tree causing positive conditions for radial growth (Barbaroux &amp; Breda 2002; Steppe &amp; Lemeur 2004; Steppe et al 2006). </w:t>
      </w: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rPr>
      </w:pPr>
      <w:r>
        <w:rPr>
          <w:rFonts w:ascii="Arial" w:hAnsi="Arial" w:cs="Arial"/>
        </w:rPr>
        <w:t>Zweifel et al (2006) suggested that trees sensitive to drought are unable to expand newly built cells and that this growth is not stopped but merely delayed. A release of pressure enables the cells to enlarge. However, a prolonged period of drought may cause cell division to stop with later precipitation periods not being able to compensate for suppressed growth (Zweifel et al, 2006).</w:t>
      </w: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szCs w:val="18"/>
        </w:rPr>
      </w:pPr>
      <w:r>
        <w:rPr>
          <w:rFonts w:ascii="Arial" w:hAnsi="Arial" w:cs="Arial"/>
        </w:rPr>
        <w:t xml:space="preserve">Not all trees even within the same species show the same response to drought. </w:t>
      </w:r>
      <w:r>
        <w:rPr>
          <w:rFonts w:ascii="Arial" w:hAnsi="Arial" w:cs="Arial"/>
          <w:lang w:val="en"/>
        </w:rPr>
        <w:t>Work carried out by Suarez et al (2004) highlighted that the droughts in</w:t>
      </w:r>
      <w:r>
        <w:rPr>
          <w:rFonts w:ascii="Arial" w:hAnsi="Arial" w:cs="Arial"/>
          <w:szCs w:val="18"/>
        </w:rPr>
        <w:t xml:space="preserve"> Patagonia (</w:t>
      </w:r>
      <w:smartTag w:uri="urn:schemas-microsoft-com:office:smarttags" w:element="place">
        <w:r>
          <w:rPr>
            <w:rFonts w:ascii="Arial" w:hAnsi="Arial" w:cs="Arial"/>
            <w:szCs w:val="18"/>
          </w:rPr>
          <w:t>South America</w:t>
        </w:r>
      </w:smartTag>
      <w:r>
        <w:rPr>
          <w:rFonts w:ascii="Arial" w:hAnsi="Arial" w:cs="Arial"/>
          <w:szCs w:val="18"/>
        </w:rPr>
        <w:t>) of 1998-9 had large effects on the trees in this area. Trees with variable growth showed less resistance to drought than those with regular growth. They also noted that older trees were less sensitive to climatic changes (Suarez et al, 2004).</w:t>
      </w:r>
    </w:p>
    <w:p w:rsidR="001C0D62" w:rsidRDefault="001C0D62">
      <w:pPr>
        <w:spacing w:line="360" w:lineRule="auto"/>
        <w:jc w:val="both"/>
        <w:rPr>
          <w:rFonts w:ascii="Arial" w:hAnsi="Arial" w:cs="Arial"/>
          <w:szCs w:val="18"/>
        </w:rPr>
      </w:pPr>
    </w:p>
    <w:p w:rsidR="001C0D62" w:rsidRDefault="001C0D62">
      <w:pPr>
        <w:spacing w:line="360" w:lineRule="auto"/>
        <w:jc w:val="both"/>
        <w:rPr>
          <w:rFonts w:ascii="Arial" w:hAnsi="Arial" w:cs="Arial"/>
        </w:rPr>
      </w:pPr>
      <w:r>
        <w:rPr>
          <w:rFonts w:ascii="Arial" w:hAnsi="Arial" w:cs="Arial"/>
          <w:szCs w:val="18"/>
        </w:rPr>
        <w:t xml:space="preserve">Comparisons between dry and wet environments were carried out </w:t>
      </w:r>
      <w:r>
        <w:rPr>
          <w:rFonts w:ascii="Arial" w:hAnsi="Arial" w:cs="Arial"/>
        </w:rPr>
        <w:t>at a tropical deciduous forest (</w:t>
      </w:r>
      <w:smartTag w:uri="urn:schemas-microsoft-com:office:smarttags" w:element="place">
        <w:smartTag w:uri="urn:schemas-microsoft-com:office:smarttags" w:element="City">
          <w:r>
            <w:rPr>
              <w:rFonts w:ascii="Arial" w:hAnsi="Arial" w:cs="Arial"/>
            </w:rPr>
            <w:t>Barro Colorado Island</w:t>
          </w:r>
        </w:smartTag>
        <w:r>
          <w:rPr>
            <w:rFonts w:ascii="Arial" w:hAnsi="Arial" w:cs="Arial"/>
          </w:rPr>
          <w:t xml:space="preserve">, </w:t>
        </w:r>
        <w:smartTag w:uri="urn:schemas-microsoft-com:office:smarttags" w:element="country-region">
          <w:r>
            <w:rPr>
              <w:rFonts w:ascii="Arial" w:hAnsi="Arial" w:cs="Arial"/>
            </w:rPr>
            <w:t>Panama</w:t>
          </w:r>
        </w:smartTag>
      </w:smartTag>
      <w:r>
        <w:rPr>
          <w:rFonts w:ascii="Arial" w:hAnsi="Arial" w:cs="Arial"/>
        </w:rPr>
        <w:t xml:space="preserve">). The latter generally produced greater tree sizes, although this could coincide with greater availability for light at this particular location (French Institute of </w:t>
      </w:r>
      <w:smartTag w:uri="urn:schemas-microsoft-com:office:smarttags" w:element="City">
        <w:smartTag w:uri="urn:schemas-microsoft-com:office:smarttags" w:element="place">
          <w:r>
            <w:rPr>
              <w:rFonts w:ascii="Arial" w:hAnsi="Arial" w:cs="Arial"/>
            </w:rPr>
            <w:t>Pondicherry</w:t>
          </w:r>
        </w:smartTag>
      </w:smartTag>
      <w:r>
        <w:rPr>
          <w:rFonts w:ascii="Arial" w:hAnsi="Arial" w:cs="Arial"/>
        </w:rPr>
        <w:t>, 2007).</w:t>
      </w: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b/>
          <w:bCs/>
          <w:sz w:val="26"/>
          <w:u w:val="single"/>
        </w:rPr>
      </w:pPr>
      <w:r>
        <w:rPr>
          <w:rFonts w:ascii="Arial" w:hAnsi="Arial" w:cs="Arial"/>
          <w:b/>
          <w:bCs/>
          <w:sz w:val="26"/>
          <w:u w:val="single"/>
        </w:rPr>
        <w:t>2.6: The influence of precipitation on radial growth</w:t>
      </w:r>
    </w:p>
    <w:p w:rsidR="001C0D62" w:rsidRDefault="001C0D62">
      <w:pPr>
        <w:spacing w:line="360" w:lineRule="auto"/>
        <w:jc w:val="both"/>
        <w:rPr>
          <w:rFonts w:ascii="Arial" w:hAnsi="Arial" w:cs="Arial"/>
          <w:b/>
          <w:bCs/>
          <w:u w:val="single"/>
        </w:rPr>
      </w:pPr>
    </w:p>
    <w:p w:rsidR="001C0D62" w:rsidRDefault="001C0D62">
      <w:pPr>
        <w:spacing w:line="360" w:lineRule="auto"/>
        <w:jc w:val="both"/>
        <w:rPr>
          <w:rFonts w:ascii="Arial" w:hAnsi="Arial" w:cs="Arial"/>
          <w:color w:val="FF0000"/>
        </w:rPr>
      </w:pPr>
      <w:r>
        <w:rPr>
          <w:rFonts w:ascii="Arial" w:hAnsi="Arial" w:cs="Arial"/>
        </w:rPr>
        <w:t xml:space="preserve">There is some discussion about the effect the timing of precipitation has on the development of tree rings. Work by </w:t>
      </w:r>
      <w:r>
        <w:rPr>
          <w:rFonts w:ascii="Arial" w:hAnsi="Arial" w:cs="Arial"/>
          <w:szCs w:val="18"/>
        </w:rPr>
        <w:t xml:space="preserve">Majid &amp; Reza (2011) indicated that ring widths of </w:t>
      </w:r>
      <w:r>
        <w:rPr>
          <w:rFonts w:ascii="Arial" w:hAnsi="Arial" w:cs="Arial"/>
          <w:i/>
          <w:iCs/>
          <w:szCs w:val="18"/>
        </w:rPr>
        <w:t>Acer velutinum</w:t>
      </w:r>
      <w:r>
        <w:rPr>
          <w:rFonts w:ascii="Arial" w:hAnsi="Arial" w:cs="Arial"/>
          <w:szCs w:val="18"/>
        </w:rPr>
        <w:t xml:space="preserve"> (Persian maple) were largely related to precipitation in August (Majid &amp; Reza, 2011). However, Fritts (1965) noted the relationship with precipitation was more pronounced during autumn, winter and spring rather than summer. Importantly, ring width variation is more closely linked to precipitation than temperature, which is considered less important, and often temperature influences growth only when moisture is present within the soil. Under low precipitation and high temperatures (particularly during autumn, winter and spring), Douglas-fir and Ponderosa pine result in narrow rings. Narrow rings within Pinyon pine, indicates a dry and warm autumn, winter and spring of the previous year accompanied with a hot June or July. Narrow rings within bristlecone pines also imply dry and warm climates, but with the greatest controlling months being spring, summer and autumn (Fritts, 1965). As is shown above, tree ring response to climate is not necessarily limited to the growing season, but rather to the most influential conditions which the tree may be put under (Hughes, 2002). It can be considered however, that radial growth of rings is a good gauge of seasonal precipitation patterns (Morey, 1973).</w:t>
      </w: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b/>
          <w:bCs/>
          <w:sz w:val="26"/>
          <w:szCs w:val="18"/>
          <w:u w:val="single"/>
        </w:rPr>
      </w:pPr>
      <w:r>
        <w:rPr>
          <w:rFonts w:ascii="Arial" w:hAnsi="Arial" w:cs="Arial"/>
          <w:b/>
          <w:bCs/>
          <w:sz w:val="26"/>
          <w:szCs w:val="18"/>
          <w:u w:val="single"/>
        </w:rPr>
        <w:t>2.7: The influence of species location on radial growth</w:t>
      </w:r>
    </w:p>
    <w:p w:rsidR="001C0D62" w:rsidRDefault="001C0D62">
      <w:pPr>
        <w:spacing w:line="360" w:lineRule="auto"/>
        <w:jc w:val="both"/>
        <w:rPr>
          <w:rFonts w:ascii="Arial" w:hAnsi="Arial" w:cs="Arial"/>
          <w:b/>
          <w:bCs/>
          <w:szCs w:val="18"/>
          <w:u w:val="single"/>
        </w:rPr>
      </w:pPr>
    </w:p>
    <w:p w:rsidR="001C0D62" w:rsidRDefault="001C0D62">
      <w:pPr>
        <w:spacing w:line="360" w:lineRule="auto"/>
        <w:jc w:val="both"/>
        <w:rPr>
          <w:rFonts w:ascii="Arial" w:hAnsi="Arial" w:cs="Arial"/>
        </w:rPr>
      </w:pPr>
      <w:r>
        <w:rPr>
          <w:rFonts w:ascii="Arial" w:hAnsi="Arial" w:cs="Arial"/>
        </w:rPr>
        <w:t>A critical factor influencing different responses of trees to climate is their location. White et al (2011) suggest that in temperate regions, the largest portion of annual radial growth variation in trees is accounted for by a number of factors (precipitation, temperature and drought) (White et al, 2011). In arid regions, severe drought limits soil moisture availability thus leading to a narrow ring or even no ring at all (Morey, 1973). Whilst Williams et al (1993) noted that in higher latitude and altitude regions, summer temperature is the critical variable opposed to annual precipitation being the dominant variable for lower latitude semi-arid regions (Williams et al 1993; Williams n.d.; Barry &amp; Chorley 1998; Fritts et al 1980; Till &amp; Guiot 1990; Touchan et al 1999).</w:t>
      </w:r>
      <w:r>
        <w:rPr>
          <w:rFonts w:ascii="Arial" w:hAnsi="Arial" w:cs="Arial"/>
          <w:color w:val="0000FF"/>
        </w:rPr>
        <w:t xml:space="preserve"> </w:t>
      </w:r>
      <w:r>
        <w:rPr>
          <w:rFonts w:ascii="Arial" w:hAnsi="Arial" w:cs="Arial"/>
        </w:rPr>
        <w:t>In semi-arid regions, climate frequently limits plant processes, and therefore variations in ring widths exhibit the strongest relationship to variations in climatic conditions (Fritts et al 1965a; b). Low temperatures within high-elevation forests results in minimal growth, whilst high temperatures and drought in Mediterranean climates contribute towards limited growth (Maxime &amp; Hendrik, 2011).</w:t>
      </w:r>
    </w:p>
    <w:p w:rsidR="001C0D62" w:rsidRDefault="001C0D62">
      <w:pPr>
        <w:spacing w:line="360" w:lineRule="auto"/>
        <w:jc w:val="both"/>
        <w:rPr>
          <w:rFonts w:ascii="Arial" w:hAnsi="Arial" w:cs="Arial"/>
          <w:highlight w:val="red"/>
        </w:rPr>
      </w:pPr>
    </w:p>
    <w:p w:rsidR="001C0D62" w:rsidRDefault="001C0D62">
      <w:pPr>
        <w:spacing w:line="360" w:lineRule="auto"/>
        <w:jc w:val="both"/>
        <w:rPr>
          <w:rFonts w:ascii="Arial" w:hAnsi="Arial" w:cs="Arial"/>
        </w:rPr>
      </w:pPr>
      <w:r>
        <w:rPr>
          <w:rFonts w:ascii="Arial" w:hAnsi="Arial" w:cs="Arial"/>
        </w:rPr>
        <w:t>Briffa et al (2002) discovered that at sites in close proximity to the extra-tropical Northern Hemisphere, summer temperature dominates growth,</w:t>
      </w:r>
      <w:r>
        <w:rPr>
          <w:rFonts w:ascii="Arial" w:hAnsi="Arial" w:cs="Arial"/>
          <w:color w:val="FF0000"/>
        </w:rPr>
        <w:t xml:space="preserve"> </w:t>
      </w:r>
      <w:r>
        <w:rPr>
          <w:rFonts w:ascii="Arial" w:hAnsi="Arial" w:cs="Arial"/>
        </w:rPr>
        <w:t>particularly in June/July. There was a significantly weaker relationship between precipitation and growth rates, although there were a number of positive correlations between the precipitation rates during the previous growing season, rather than the rates during the growing season of the current year of growth. This negative correlation demonstrates that a lack of summer moisture availability does not limit growth, highlighting that temperature is the dominant variable. Also the study discovered negative correlations between growth and previous growing season temperatures (Briffa et al, 2002).</w:t>
      </w: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b/>
          <w:bCs/>
          <w:sz w:val="26"/>
          <w:u w:val="single"/>
        </w:rPr>
      </w:pPr>
      <w:r>
        <w:rPr>
          <w:rFonts w:ascii="Arial" w:hAnsi="Arial" w:cs="Arial"/>
          <w:b/>
          <w:bCs/>
          <w:sz w:val="26"/>
          <w:u w:val="single"/>
        </w:rPr>
        <w:t>2.8: Response of different species to the climatic conditions</w:t>
      </w:r>
    </w:p>
    <w:p w:rsidR="001C0D62" w:rsidRDefault="001C0D62">
      <w:pPr>
        <w:spacing w:line="360" w:lineRule="auto"/>
        <w:jc w:val="both"/>
        <w:rPr>
          <w:rFonts w:ascii="Arial" w:hAnsi="Arial" w:cs="Arial"/>
          <w:b/>
          <w:bCs/>
          <w:u w:val="single"/>
        </w:rPr>
      </w:pPr>
    </w:p>
    <w:p w:rsidR="001C0D62" w:rsidRDefault="001C0D62">
      <w:pPr>
        <w:spacing w:line="360" w:lineRule="auto"/>
        <w:jc w:val="both"/>
        <w:rPr>
          <w:rFonts w:ascii="Arial" w:hAnsi="Arial" w:cs="Arial"/>
        </w:rPr>
      </w:pPr>
      <w:r>
        <w:rPr>
          <w:rFonts w:ascii="Arial" w:hAnsi="Arial" w:cs="Arial"/>
        </w:rPr>
        <w:t>A number of researchers have also demonstrated that trees subjected to the same climatic conditions can result in a varied response between species (Maxime &amp; Hendrik, 2011).</w:t>
      </w:r>
    </w:p>
    <w:p w:rsidR="001C0D62" w:rsidRDefault="001C0D62">
      <w:pPr>
        <w:spacing w:line="360" w:lineRule="auto"/>
        <w:jc w:val="both"/>
        <w:rPr>
          <w:rFonts w:ascii="Arial" w:hAnsi="Arial" w:cs="Arial"/>
        </w:rPr>
      </w:pPr>
      <w:r>
        <w:rPr>
          <w:rFonts w:ascii="Arial" w:hAnsi="Arial" w:cs="Arial"/>
        </w:rPr>
        <w:br/>
        <w:t xml:space="preserve">Trees growing in </w:t>
      </w:r>
      <w:smartTag w:uri="urn:schemas-microsoft-com:office:smarttags" w:element="State">
        <w:smartTag w:uri="urn:schemas-microsoft-com:office:smarttags" w:element="place">
          <w:r>
            <w:rPr>
              <w:rFonts w:ascii="Arial" w:hAnsi="Arial" w:cs="Arial"/>
            </w:rPr>
            <w:t>West Virginia</w:t>
          </w:r>
        </w:smartTag>
      </w:smartTag>
      <w:r>
        <w:rPr>
          <w:rFonts w:ascii="Arial" w:hAnsi="Arial" w:cs="Arial"/>
        </w:rPr>
        <w:t xml:space="preserve"> have showed responses to varying conditions. Yellow poplar growth here showed a sharp decline for 10 successive years, starting around the late 1950’s due to reduced precipitation levels. The red oak, chestnut oak and red maple showed a much milder response to the drought conditions. Following this period, rapid growth rates occurred linked with higher rainfall averages. Notably all the species within the study suffered growth reduction associated with periods of drought, but also showed evidence of rapid recovery from the drought periods. It is argued that this variation in growth, which alters with climatic changes, is likely to vary in different areas e.g. different aspects or topography of an area, in addition to different varieties within a species (Fekedulegn et al, 2002). </w:t>
      </w: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b/>
          <w:bCs/>
          <w:sz w:val="26"/>
          <w:u w:val="single"/>
        </w:rPr>
      </w:pPr>
      <w:r>
        <w:rPr>
          <w:rFonts w:ascii="Arial" w:hAnsi="Arial" w:cs="Arial"/>
          <w:b/>
          <w:bCs/>
          <w:sz w:val="26"/>
          <w:u w:val="single"/>
        </w:rPr>
        <w:t>2.9: Response of Oak trees to climatic conditions</w:t>
      </w:r>
    </w:p>
    <w:p w:rsidR="001C0D62" w:rsidRDefault="001C0D62">
      <w:pPr>
        <w:spacing w:line="360" w:lineRule="auto"/>
        <w:jc w:val="both"/>
        <w:rPr>
          <w:rFonts w:ascii="Arial" w:hAnsi="Arial" w:cs="Arial"/>
          <w:b/>
          <w:bCs/>
          <w:u w:val="single"/>
        </w:rPr>
      </w:pPr>
    </w:p>
    <w:p w:rsidR="001C0D62" w:rsidRDefault="001C0D62">
      <w:pPr>
        <w:spacing w:line="360" w:lineRule="auto"/>
        <w:jc w:val="both"/>
        <w:rPr>
          <w:rFonts w:ascii="Arial" w:hAnsi="Arial" w:cs="Arial"/>
        </w:rPr>
      </w:pPr>
      <w:r>
        <w:rPr>
          <w:rFonts w:ascii="Arial" w:hAnsi="Arial" w:cs="Arial"/>
        </w:rPr>
        <w:t>Research by Ermich (1953; 1959), indicated that the growth of Oak is significantly dependent upon the precipitation rates during the growing season, but not influenced by air temperature. He further stated that larger radial growth of Oaks is essentially dependant on the total precipitation occurring in June, combined with relative humidity rates of June to August (Ermich, 1953).</w:t>
      </w: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szCs w:val="18"/>
        </w:rPr>
      </w:pPr>
      <w:r>
        <w:rPr>
          <w:rFonts w:ascii="Arial" w:hAnsi="Arial" w:cs="Arial"/>
        </w:rPr>
        <w:t xml:space="preserve">Research to support this theory has been backed up by the findings of </w:t>
      </w:r>
      <w:r>
        <w:rPr>
          <w:rFonts w:ascii="Arial" w:hAnsi="Arial" w:cs="Arial"/>
          <w:szCs w:val="18"/>
        </w:rPr>
        <w:t xml:space="preserve">Bednarz &amp; Ptak (1990) studying Oaks in southern </w:t>
      </w:r>
      <w:smartTag w:uri="urn:schemas-microsoft-com:office:smarttags" w:element="country-region">
        <w:smartTag w:uri="urn:schemas-microsoft-com:office:smarttags" w:element="place">
          <w:r>
            <w:rPr>
              <w:rFonts w:ascii="Arial" w:hAnsi="Arial" w:cs="Arial"/>
              <w:szCs w:val="18"/>
            </w:rPr>
            <w:t>Poland</w:t>
          </w:r>
        </w:smartTag>
      </w:smartTag>
      <w:r>
        <w:rPr>
          <w:rFonts w:ascii="Arial" w:hAnsi="Arial" w:cs="Arial"/>
          <w:szCs w:val="18"/>
        </w:rPr>
        <w:t xml:space="preserve">. Their results suggested that high monthly precipitation rates in June and July increases radial growth. Figure 2.0 shows the relationship between the mean ring width indices in </w:t>
      </w:r>
      <w:r>
        <w:rPr>
          <w:rFonts w:ascii="Arial" w:hAnsi="Arial" w:cs="Arial"/>
          <w:i/>
          <w:iCs/>
          <w:szCs w:val="18"/>
        </w:rPr>
        <w:t>Quercus robur</w:t>
      </w:r>
      <w:r>
        <w:rPr>
          <w:rFonts w:ascii="Arial" w:hAnsi="Arial" w:cs="Arial"/>
          <w:szCs w:val="18"/>
        </w:rPr>
        <w:t xml:space="preserve"> (English Oak) from the Gibiel reserve study area compared with mean monthly air temperatures (1826-1980), and monthly precipitation (1881-1985). The solid line represents the coefficient of correlation, whilst the dashed line represents the percentage of agreement (</w:t>
      </w:r>
      <w:r>
        <w:rPr>
          <w:rFonts w:ascii="Arial" w:hAnsi="Arial" w:cs="Arial"/>
        </w:rPr>
        <w:t>Bednarz &amp; Ptak 1990)</w:t>
      </w:r>
      <w:r>
        <w:rPr>
          <w:rFonts w:ascii="Arial" w:hAnsi="Arial" w:cs="Arial"/>
          <w:szCs w:val="18"/>
        </w:rPr>
        <w:t>.</w:t>
      </w: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rPr>
      </w:pPr>
    </w:p>
    <w:p w:rsidR="001C0D62" w:rsidRDefault="001C0D62">
      <w:pPr>
        <w:spacing w:line="360" w:lineRule="auto"/>
        <w:jc w:val="center"/>
        <w:rPr>
          <w:rFonts w:ascii="Arial" w:hAnsi="Arial" w:cs="Arial"/>
          <w:b/>
          <w:bCs/>
          <w:szCs w:val="18"/>
          <w:u w:val="single"/>
        </w:rPr>
      </w:pPr>
      <w:r>
        <w:rPr>
          <w:rFonts w:ascii="Arial" w:hAnsi="Arial" w:cs="Arial"/>
          <w:b/>
          <w:bCs/>
          <w:szCs w:val="18"/>
          <w:u w:val="single"/>
        </w:rPr>
        <w:t xml:space="preserve">Figure 2.0: Relationship between mean ring width of </w:t>
      </w:r>
      <w:r>
        <w:rPr>
          <w:rFonts w:ascii="Arial" w:hAnsi="Arial" w:cs="Arial"/>
          <w:b/>
          <w:bCs/>
          <w:i/>
          <w:iCs/>
          <w:szCs w:val="18"/>
          <w:u w:val="single"/>
        </w:rPr>
        <w:t>Quercus robur</w:t>
      </w:r>
      <w:r>
        <w:rPr>
          <w:rFonts w:ascii="Arial" w:hAnsi="Arial" w:cs="Arial"/>
          <w:b/>
          <w:bCs/>
          <w:szCs w:val="18"/>
          <w:u w:val="single"/>
        </w:rPr>
        <w:t xml:space="preserve"> from the Gibiel reserve associated with mean monthly air temperatures and monthly precipitation rates.</w:t>
      </w:r>
    </w:p>
    <w:p w:rsidR="001C0D62" w:rsidRDefault="001F31B4">
      <w:pPr>
        <w:jc w:val="center"/>
        <w:rPr>
          <w:rFonts w:ascii="Arial" w:hAnsi="Arial" w:cs="Arial"/>
          <w:szCs w:val="18"/>
        </w:rPr>
      </w:pPr>
      <w:r>
        <w:rPr>
          <w:rFonts w:ascii="Arial" w:hAnsi="Arial" w:cs="Arial"/>
          <w:noProof/>
          <w:szCs w:val="18"/>
          <w:lang w:val="en-GB" w:eastAsia="en-GB"/>
        </w:rPr>
        <w:drawing>
          <wp:inline distT="0" distB="0" distL="0" distR="0">
            <wp:extent cx="3530600" cy="3759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30600" cy="3759200"/>
                    </a:xfrm>
                    <a:prstGeom prst="rect">
                      <a:avLst/>
                    </a:prstGeom>
                    <a:noFill/>
                    <a:ln>
                      <a:noFill/>
                    </a:ln>
                  </pic:spPr>
                </pic:pic>
              </a:graphicData>
            </a:graphic>
          </wp:inline>
        </w:drawing>
      </w:r>
    </w:p>
    <w:p w:rsidR="001C0D62" w:rsidRDefault="001C0D62">
      <w:pPr>
        <w:spacing w:line="360" w:lineRule="auto"/>
        <w:rPr>
          <w:rFonts w:ascii="Arial" w:hAnsi="Arial" w:cs="Arial"/>
        </w:rPr>
      </w:pPr>
      <w:r>
        <w:rPr>
          <w:rFonts w:ascii="Arial" w:hAnsi="Arial" w:cs="Arial"/>
          <w:szCs w:val="18"/>
        </w:rPr>
        <w:t xml:space="preserve">                                                                      (</w:t>
      </w:r>
      <w:r>
        <w:rPr>
          <w:rFonts w:ascii="Arial" w:hAnsi="Arial" w:cs="Arial"/>
        </w:rPr>
        <w:t>Bednarz &amp; Ptak 1990).</w:t>
      </w:r>
    </w:p>
    <w:p w:rsidR="001C0D62" w:rsidRDefault="001C0D62">
      <w:pPr>
        <w:spacing w:line="360" w:lineRule="auto"/>
        <w:jc w:val="both"/>
        <w:rPr>
          <w:rFonts w:ascii="Arial" w:hAnsi="Arial" w:cs="Arial"/>
        </w:rPr>
      </w:pPr>
      <w:r>
        <w:rPr>
          <w:rFonts w:ascii="Arial" w:hAnsi="Arial" w:cs="Arial"/>
          <w:szCs w:val="18"/>
        </w:rPr>
        <w:t>The results shown in figure 2.0 highlight the trends between the climatic conditions and radial growth. There appears to be a strong relationship between radial growth and precipitation (June-July, May-July and June-August), despite considerable site moisture already being present. However air temperature was less of a factor in relation to ring growth (</w:t>
      </w:r>
      <w:r>
        <w:rPr>
          <w:rFonts w:ascii="Arial" w:hAnsi="Arial" w:cs="Arial"/>
        </w:rPr>
        <w:t xml:space="preserve">Bednarz &amp; Ptak 1990). </w:t>
      </w:r>
    </w:p>
    <w:p w:rsidR="001C0D62" w:rsidRDefault="001C0D62">
      <w:pPr>
        <w:spacing w:line="360" w:lineRule="auto"/>
        <w:jc w:val="both"/>
        <w:rPr>
          <w:rFonts w:ascii="Arial" w:hAnsi="Arial" w:cs="Arial"/>
          <w:highlight w:val="yellow"/>
        </w:rPr>
      </w:pPr>
    </w:p>
    <w:p w:rsidR="001C0D62" w:rsidRDefault="001C0D62">
      <w:pPr>
        <w:spacing w:line="360" w:lineRule="auto"/>
        <w:jc w:val="both"/>
        <w:rPr>
          <w:rFonts w:ascii="Arial" w:hAnsi="Arial" w:cs="Arial"/>
          <w:szCs w:val="18"/>
        </w:rPr>
      </w:pPr>
      <w:r>
        <w:rPr>
          <w:rFonts w:ascii="Arial" w:hAnsi="Arial" w:cs="Arial"/>
        </w:rPr>
        <w:t xml:space="preserve">In </w:t>
      </w:r>
      <w:smartTag w:uri="urn:schemas-microsoft-com:office:smarttags" w:element="country-region">
        <w:smartTag w:uri="urn:schemas-microsoft-com:office:smarttags" w:element="place">
          <w:r>
            <w:rPr>
              <w:rFonts w:ascii="Arial" w:hAnsi="Arial" w:cs="Arial"/>
            </w:rPr>
            <w:t>Britain</w:t>
          </w:r>
        </w:smartTag>
      </w:smartTag>
      <w:r>
        <w:rPr>
          <w:rFonts w:ascii="Arial" w:hAnsi="Arial" w:cs="Arial"/>
        </w:rPr>
        <w:t xml:space="preserve">, high precipitation rates during the growing season along with high temperatures in early summer are known to favour growth, whilst high temperatures during the previous winter greatly reduce this growth, possibly as a result of lost food reserves. Also radial Oak growth in </w:t>
      </w:r>
      <w:smartTag w:uri="urn:schemas-microsoft-com:office:smarttags" w:element="country-region">
        <w:smartTag w:uri="urn:schemas-microsoft-com:office:smarttags" w:element="place">
          <w:r>
            <w:rPr>
              <w:rFonts w:ascii="Arial" w:hAnsi="Arial" w:cs="Arial"/>
            </w:rPr>
            <w:t>Britain</w:t>
          </w:r>
        </w:smartTag>
      </w:smartTag>
      <w:r>
        <w:rPr>
          <w:rFonts w:ascii="Arial" w:hAnsi="Arial" w:cs="Arial"/>
        </w:rPr>
        <w:t xml:space="preserve"> may suffer from water stress, but do not seem to suffer from water excess (Pilcher &amp; Gray, 1982). Other research suggests a warm British winter or wet summers positively affect radial growth, thus a cold winter or a dry/hot summer results in the production of a narrow ring (Tree-Ring Services, 2012).</w:t>
      </w: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rPr>
      </w:pPr>
      <w:r>
        <w:rPr>
          <w:rFonts w:ascii="Arial" w:hAnsi="Arial" w:cs="Arial"/>
        </w:rPr>
        <w:t xml:space="preserve">Studies undertaken in central to the southern Appalachian Mountains and southern </w:t>
      </w:r>
      <w:smartTag w:uri="urn:schemas-microsoft-com:office:smarttags" w:element="country-region">
        <w:smartTag w:uri="urn:schemas-microsoft-com:office:smarttags" w:element="place">
          <w:r>
            <w:rPr>
              <w:rFonts w:ascii="Arial" w:hAnsi="Arial" w:cs="Arial"/>
            </w:rPr>
            <w:t>United States</w:t>
          </w:r>
        </w:smartTag>
      </w:smartTag>
      <w:r>
        <w:rPr>
          <w:rFonts w:ascii="Arial" w:hAnsi="Arial" w:cs="Arial"/>
        </w:rPr>
        <w:t>, have indicated that low precipitation and high temperatures result in limited radial growth in Oaks (Pan et al 1997; Bortolot et al 2001; D’Arrigo et al 2001; Stahle et al 2001 &amp; Speer 2001).</w:t>
      </w: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rPr>
      </w:pPr>
      <w:r>
        <w:rPr>
          <w:rFonts w:ascii="Arial" w:hAnsi="Arial" w:cs="Arial"/>
        </w:rPr>
        <w:t xml:space="preserve">The research carried out by White et al (2011) coincided with that of research carried out for other Oak-studies in eastern </w:t>
      </w:r>
      <w:smartTag w:uri="urn:schemas-microsoft-com:office:smarttags" w:element="country-region">
        <w:smartTag w:uri="urn:schemas-microsoft-com:office:smarttags" w:element="place">
          <w:r>
            <w:rPr>
              <w:rFonts w:ascii="Arial" w:hAnsi="Arial" w:cs="Arial"/>
            </w:rPr>
            <w:t>USA</w:t>
          </w:r>
        </w:smartTag>
      </w:smartTag>
      <w:r>
        <w:rPr>
          <w:rFonts w:ascii="Arial" w:hAnsi="Arial" w:cs="Arial"/>
        </w:rPr>
        <w:t xml:space="preserve"> (Cook &amp; Jacoby 1977; Stahle &amp; Hehr 1984; Bortolot et al 2001; D’Arrigo et al 2001; Speer et al 2009), where the greatest radial growth occurred during cool moist summers. The high correlations between tree growth and precipitation and the relationship between temperature and growth highlighted moisture availability is the greatest influencing factor of the southern Appalachian Oak growth (White et al, 2011). Frisse (1977) undertook a study of Oak and Beech trees, where the data indicated that precipitation played a dominant role, especially spring precipitation along with winter temperature (Frisse, 1977).</w:t>
      </w: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b/>
          <w:bCs/>
          <w:sz w:val="26"/>
          <w:u w:val="single"/>
        </w:rPr>
      </w:pPr>
      <w:r>
        <w:rPr>
          <w:rFonts w:ascii="Arial" w:hAnsi="Arial" w:cs="Arial"/>
          <w:b/>
          <w:bCs/>
          <w:sz w:val="26"/>
          <w:u w:val="single"/>
        </w:rPr>
        <w:t>2.10: Response of Beech trees to climatic conditions</w:t>
      </w: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highlight w:val="yellow"/>
        </w:rPr>
      </w:pPr>
      <w:r>
        <w:rPr>
          <w:rFonts w:ascii="Arial" w:hAnsi="Arial" w:cs="Arial"/>
        </w:rPr>
        <w:t>Increased temperatures during the twentieth century have resulted in an increase in radial growth of Beech, (e.g. the 2003 heat wave) (Maxime &amp; Hendrik, 2011). Also significant negative correlations were discovered between radial growth and July/August temperatures (Maxime &amp; Hendrik, 2011).</w:t>
      </w:r>
      <w:r>
        <w:rPr>
          <w:rFonts w:ascii="Arial" w:hAnsi="Arial" w:cs="Arial"/>
          <w:color w:val="FF0000"/>
        </w:rPr>
        <w:t xml:space="preserve"> </w:t>
      </w:r>
      <w:r>
        <w:rPr>
          <w:rFonts w:ascii="Arial" w:hAnsi="Arial" w:cs="Arial"/>
        </w:rPr>
        <w:t xml:space="preserve">This is supported by Augustaitis et al (2012) who discovered increased temperature in June-August, combined with a decrease in precipitation results in radial reduction (Augustaitis et al, 2012). </w:t>
      </w:r>
    </w:p>
    <w:p w:rsidR="001C0D62" w:rsidRDefault="001C0D62">
      <w:pPr>
        <w:spacing w:line="360" w:lineRule="auto"/>
        <w:jc w:val="both"/>
        <w:rPr>
          <w:rFonts w:ascii="Arial" w:hAnsi="Arial" w:cs="Arial"/>
          <w:highlight w:val="yellow"/>
        </w:rPr>
      </w:pPr>
    </w:p>
    <w:p w:rsidR="001C0D62" w:rsidRDefault="001C0D62">
      <w:pPr>
        <w:spacing w:line="360" w:lineRule="auto"/>
        <w:jc w:val="both"/>
        <w:rPr>
          <w:rFonts w:ascii="Arial" w:hAnsi="Arial" w:cs="Arial"/>
        </w:rPr>
      </w:pPr>
      <w:r>
        <w:rPr>
          <w:rFonts w:ascii="Arial" w:hAnsi="Arial" w:cs="Arial"/>
        </w:rPr>
        <w:t xml:space="preserve">Dendrochronological studies in France indicate the ring widths of </w:t>
      </w:r>
      <w:r>
        <w:rPr>
          <w:rFonts w:ascii="Arial" w:hAnsi="Arial" w:cs="Arial"/>
          <w:i/>
          <w:iCs/>
        </w:rPr>
        <w:t>Fagus sylvatica</w:t>
      </w:r>
      <w:r>
        <w:rPr>
          <w:rFonts w:ascii="Arial" w:hAnsi="Arial" w:cs="Arial"/>
        </w:rPr>
        <w:t xml:space="preserve"> (Common Beech), appear to be negatively correlated to minimum March and maximum August temperatures, but positively correlated to May and July precipitation, with dry years producing narrow rings (Bouriaud et al 2004; Lebourgeois et al 2005). </w:t>
      </w: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rPr>
      </w:pPr>
      <w:r>
        <w:rPr>
          <w:rFonts w:ascii="Arial" w:hAnsi="Arial" w:cs="Arial"/>
        </w:rPr>
        <w:t xml:space="preserve">Bouriaud et al (2004) also found that “Beech ring width was strongly linked to the soil water deficit” (Bouriaud et al, 2004). Kasson and Livingston (2012) suggested a decline in radial growth as well as increased Beech mortality coincided with drought (Kasson &amp; Livingston, 2012). Summer air temperatures impacted upon Beech trees growing in </w:t>
      </w:r>
      <w:smartTag w:uri="urn:schemas-microsoft-com:office:smarttags" w:element="country-region">
        <w:r>
          <w:rPr>
            <w:rFonts w:ascii="Arial" w:hAnsi="Arial" w:cs="Arial"/>
          </w:rPr>
          <w:t>Lithuania</w:t>
        </w:r>
      </w:smartTag>
      <w:r>
        <w:rPr>
          <w:rFonts w:ascii="Arial" w:hAnsi="Arial" w:cs="Arial"/>
        </w:rPr>
        <w:t xml:space="preserve">, resulting in increased tree ring widths along the seaside, compared with reduced ring widths in central </w:t>
      </w:r>
      <w:smartTag w:uri="urn:schemas-microsoft-com:office:smarttags" w:element="country-region">
        <w:smartTag w:uri="urn:schemas-microsoft-com:office:smarttags" w:element="place">
          <w:r>
            <w:rPr>
              <w:rFonts w:ascii="Arial" w:hAnsi="Arial" w:cs="Arial"/>
            </w:rPr>
            <w:t>Lithuania</w:t>
          </w:r>
        </w:smartTag>
      </w:smartTag>
      <w:r>
        <w:rPr>
          <w:rFonts w:ascii="Arial" w:hAnsi="Arial" w:cs="Arial"/>
        </w:rPr>
        <w:t xml:space="preserve"> (Pilkauskas et al 2011). Research undertaken by Čufar et al (2008) however, showed reduced ring widths from minimum and maximum temperatures, but favoured May and July precipitation (Čufar et al, 2008).</w:t>
      </w: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b/>
          <w:bCs/>
          <w:sz w:val="26"/>
          <w:u w:val="single"/>
        </w:rPr>
      </w:pPr>
      <w:r>
        <w:rPr>
          <w:rFonts w:ascii="Arial" w:hAnsi="Arial" w:cs="Arial"/>
          <w:b/>
          <w:bCs/>
          <w:sz w:val="26"/>
          <w:u w:val="single"/>
        </w:rPr>
        <w:t>2.11: Response of Sycamore trees to climatic conditions</w:t>
      </w: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rPr>
      </w:pPr>
      <w:r>
        <w:rPr>
          <w:rFonts w:ascii="Arial" w:hAnsi="Arial" w:cs="Arial"/>
        </w:rPr>
        <w:t xml:space="preserve">Sycamore trees may also be influenced by climatic conditions, with research suggesting growth is reduced during dryer periods (Morecroft et al, 2008). With projected climate change predicted to increase </w:t>
      </w:r>
      <w:smartTag w:uri="urn:schemas-microsoft-com:office:smarttags" w:element="country-region">
        <w:r>
          <w:rPr>
            <w:rFonts w:ascii="Arial" w:hAnsi="Arial" w:cs="Arial"/>
          </w:rPr>
          <w:t>UK</w:t>
        </w:r>
      </w:smartTag>
      <w:r>
        <w:rPr>
          <w:rFonts w:ascii="Arial" w:hAnsi="Arial" w:cs="Arial"/>
        </w:rPr>
        <w:t xml:space="preserve"> temperatures, models by Broadmeadow et al (2005), reveals that there is a strong possibility that sycamore will decline largely in </w:t>
      </w:r>
      <w:smartTag w:uri="urn:schemas-microsoft-com:office:smarttags" w:element="country-region">
        <w:smartTag w:uri="urn:schemas-microsoft-com:office:smarttags" w:element="place">
          <w:r>
            <w:rPr>
              <w:rFonts w:ascii="Arial" w:hAnsi="Arial" w:cs="Arial"/>
            </w:rPr>
            <w:t>England</w:t>
          </w:r>
        </w:smartTag>
      </w:smartTag>
      <w:r>
        <w:rPr>
          <w:rFonts w:ascii="Arial" w:hAnsi="Arial" w:cs="Arial"/>
        </w:rPr>
        <w:t xml:space="preserve">, due to its sensitivity to drought. Equally, Oak is noted to be less affected. Sycamores are known to be sensitive to drought in various cases, such as research carried out by Lemoine et al (2001) and Tissier et al (2004). Further evidence to suggest they are susceptible to drought comes from Coultherd (1978), who discovered some Sycamore deaths in response to the 1976 drought in the </w:t>
      </w:r>
      <w:smartTag w:uri="urn:schemas-microsoft-com:office:smarttags" w:element="country-region">
        <w:smartTag w:uri="urn:schemas-microsoft-com:office:smarttags" w:element="place">
          <w:r>
            <w:rPr>
              <w:rFonts w:ascii="Arial" w:hAnsi="Arial" w:cs="Arial"/>
            </w:rPr>
            <w:t>UK</w:t>
          </w:r>
        </w:smartTag>
      </w:smartTag>
      <w:r>
        <w:rPr>
          <w:rFonts w:ascii="Arial" w:hAnsi="Arial" w:cs="Arial"/>
        </w:rPr>
        <w:t xml:space="preserve">. Morecroft et al (2008) discovered in British woodlands that Sycamores showed significant differences with time. Highest levels of growth were compatible with a 24 per cent increase in wetter conditions (1999-2002) (Morecroft et al, 2008). Oak also showed a similar pattern of reduced growth coinciding with reduced precipitation for the year 1996, but to a lesser extent than sycamore. Morecroft and Roberts (1999) determined that this difference is likely to be due to the effect of differing responses to the dry conditions (Morecroft &amp; Roberts, 1999). Importantly there appeared to be minimal responsiveness to temperature (Morecroft et al, 2008). </w:t>
      </w:r>
    </w:p>
    <w:p w:rsidR="001C0D62" w:rsidRDefault="001C0D62">
      <w:pPr>
        <w:spacing w:line="360" w:lineRule="auto"/>
        <w:jc w:val="both"/>
        <w:rPr>
          <w:rFonts w:ascii="Arial" w:hAnsi="Arial" w:cs="Arial"/>
          <w:highlight w:val="darkMagenta"/>
        </w:rPr>
      </w:pPr>
      <w:r>
        <w:rPr>
          <w:rFonts w:ascii="Arial" w:hAnsi="Arial" w:cs="Arial"/>
        </w:rPr>
        <w:br/>
        <w:t>Although there is a case for Sycamores being sensitive to drought (Lemoine et al 2001; Tissier et al 2004), as is highlighted by</w:t>
      </w:r>
      <w:r>
        <w:rPr>
          <w:rFonts w:ascii="Arial" w:hAnsi="Arial" w:cs="Arial"/>
          <w:color w:val="FF0000"/>
        </w:rPr>
        <w:t xml:space="preserve"> </w:t>
      </w:r>
      <w:r>
        <w:rPr>
          <w:rFonts w:ascii="Arial" w:hAnsi="Arial" w:cs="Arial"/>
        </w:rPr>
        <w:t>their natural distribution, dominating cool and wet areas of the north and west of Britain (Rodwell 1991; Forestry Commission 1997), a Polish study recognised a strong dependence between temperature and ring width, particularly for the summer months (Bednarz &amp; Ptak, 1990).</w:t>
      </w:r>
    </w:p>
    <w:p w:rsidR="001C0D62" w:rsidRDefault="001C0D62">
      <w:pPr>
        <w:spacing w:line="360" w:lineRule="auto"/>
        <w:jc w:val="both"/>
        <w:rPr>
          <w:rFonts w:ascii="Arial" w:hAnsi="Arial" w:cs="Arial"/>
        </w:rPr>
      </w:pPr>
    </w:p>
    <w:p w:rsidR="001C0D62" w:rsidRDefault="001C0D62">
      <w:pPr>
        <w:spacing w:line="360" w:lineRule="auto"/>
        <w:jc w:val="both"/>
        <w:rPr>
          <w:rStyle w:val="a"/>
          <w:rFonts w:ascii="Arial" w:hAnsi="Arial" w:cs="Arial"/>
          <w:b/>
          <w:bCs/>
          <w:color w:val="231F20"/>
          <w:szCs w:val="134"/>
          <w:u w:val="single"/>
          <w:lang w:val="en"/>
        </w:rPr>
      </w:pPr>
      <w:r>
        <w:rPr>
          <w:rStyle w:val="a"/>
          <w:rFonts w:ascii="Arial" w:hAnsi="Arial" w:cs="Arial"/>
          <w:b/>
          <w:bCs/>
          <w:color w:val="231F20"/>
          <w:sz w:val="26"/>
          <w:szCs w:val="134"/>
          <w:u w:val="single"/>
          <w:lang w:val="en"/>
        </w:rPr>
        <w:t>2.12: Other factors affecting radial growth</w:t>
      </w:r>
    </w:p>
    <w:p w:rsidR="001C0D62" w:rsidRDefault="001C0D62">
      <w:pPr>
        <w:spacing w:line="360" w:lineRule="auto"/>
        <w:jc w:val="both"/>
        <w:rPr>
          <w:rFonts w:ascii="Arial" w:hAnsi="Arial" w:cs="Arial"/>
          <w:color w:val="000000"/>
          <w:szCs w:val="200"/>
          <w:lang w:val="en"/>
        </w:rPr>
      </w:pPr>
    </w:p>
    <w:p w:rsidR="001C0D62" w:rsidRDefault="001C0D62">
      <w:pPr>
        <w:spacing w:line="360" w:lineRule="auto"/>
        <w:jc w:val="both"/>
        <w:rPr>
          <w:rFonts w:ascii="Arial" w:hAnsi="Arial" w:cs="Arial"/>
        </w:rPr>
      </w:pPr>
      <w:r>
        <w:rPr>
          <w:rFonts w:ascii="Arial" w:hAnsi="Arial" w:cs="Arial"/>
        </w:rPr>
        <w:t>Soil type is an important factor when examining drought, clay soils are able to hold more moisture compared with sandy soils. However, generally those trees growing in clay soils are much shallower rooted than those trees in sandy soils, which develop deeper root systems to find water. This ultimately means that those in the clay soils are more adversely affected by drought conditions (Texas Forest Service, n.d.).</w:t>
      </w:r>
    </w:p>
    <w:p w:rsidR="001C0D62" w:rsidRDefault="001C0D62">
      <w:pPr>
        <w:spacing w:line="360" w:lineRule="auto"/>
        <w:jc w:val="both"/>
        <w:rPr>
          <w:rFonts w:ascii="Arial" w:hAnsi="Arial" w:cs="Arial"/>
        </w:rPr>
      </w:pPr>
      <w:r>
        <w:rPr>
          <w:rFonts w:ascii="Arial" w:hAnsi="Arial" w:cs="Arial"/>
        </w:rPr>
        <w:t xml:space="preserve">Robertson (1992) carried out a study assessing the environmental factors controlling past tree growth on forested floodplain sites in southern </w:t>
      </w:r>
      <w:smartTag w:uri="urn:schemas-microsoft-com:office:smarttags" w:element="State">
        <w:smartTag w:uri="urn:schemas-microsoft-com:office:smarttags" w:element="place">
          <w:r>
            <w:rPr>
              <w:rFonts w:ascii="Arial" w:hAnsi="Arial" w:cs="Arial"/>
            </w:rPr>
            <w:t>Illinois</w:t>
          </w:r>
        </w:smartTag>
      </w:smartTag>
      <w:r>
        <w:rPr>
          <w:rFonts w:ascii="Arial" w:hAnsi="Arial" w:cs="Arial"/>
        </w:rPr>
        <w:t>. He noted that temperature, precipitation, soil moisture, depth until reaching the water table and solar radiation all had an impact on radial growth. Also during periods of high water tables in winter and spring, there was not a negative effect on growth. In the summer months, precipitation was linked with growth in many species (Robertson, 1992).</w:t>
      </w: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rPr>
      </w:pPr>
      <w:r>
        <w:rPr>
          <w:rFonts w:ascii="Arial" w:hAnsi="Arial" w:cs="Arial"/>
        </w:rPr>
        <w:t xml:space="preserve">Equally however, </w:t>
      </w:r>
      <w:r>
        <w:rPr>
          <w:rFonts w:ascii="Arial" w:hAnsi="Arial" w:cs="Arial"/>
          <w:lang w:val="en"/>
        </w:rPr>
        <w:t>Baughman (2010) found that too much water, in the form of floods affects tree growth. Those most severly affected depends on both the species, and if the tree was previously stressed. Species which were under stress showed depressed growth, whilst tolerant species had less adverse effects. Generally, increased water covering the soil results in less oxygen availability for the roots, restricting</w:t>
      </w:r>
      <w:r>
        <w:rPr>
          <w:rFonts w:ascii="Arial" w:hAnsi="Arial" w:cs="Arial"/>
          <w:color w:val="FF0000"/>
          <w:lang w:val="en"/>
        </w:rPr>
        <w:t xml:space="preserve"> </w:t>
      </w:r>
      <w:r>
        <w:rPr>
          <w:rFonts w:ascii="Arial" w:hAnsi="Arial" w:cs="Arial"/>
          <w:lang w:val="en"/>
        </w:rPr>
        <w:t>growth. Trees are more susceptible to damage just after the first flush of growth. In addition floodwaters may carry harmful chemicals, further endangering the trees in a particular location. (Baughman, 2010).</w:t>
      </w: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rPr>
      </w:pPr>
      <w:r>
        <w:rPr>
          <w:rFonts w:ascii="Arial" w:hAnsi="Arial" w:cs="Arial"/>
        </w:rPr>
        <w:t>Sunlight also plays a role in radial</w:t>
      </w:r>
      <w:r>
        <w:rPr>
          <w:rFonts w:ascii="Arial" w:hAnsi="Arial" w:cs="Arial"/>
          <w:color w:val="FF0000"/>
        </w:rPr>
        <w:t xml:space="preserve"> </w:t>
      </w:r>
      <w:r>
        <w:rPr>
          <w:rFonts w:ascii="Arial" w:hAnsi="Arial" w:cs="Arial"/>
        </w:rPr>
        <w:t>growth, Esau (1965) uses Oak as an example which contains two portions of growth; the first being the spring-wood which is dependant on the reserves that the tree has; the second being the summer-wood, which is dependent on the food supplies of that particular year. The variations in the summerwood width are therefore largely influenced by the available food supply, hence the amount of sunlight (Esau, 1965).</w:t>
      </w: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rPr>
      </w:pPr>
      <w:r>
        <w:rPr>
          <w:rFonts w:ascii="Arial" w:hAnsi="Arial" w:cs="Arial"/>
        </w:rPr>
        <w:t>“Several researchers have demonstrated that air pollutants can alter annual tree ring growth and total volume production in forests” (Nuhoglu, 2006). Trees showing reductions in tree ring size are those in large industrial conurbations (Burdekin, 1981), in close proximity to industrial sources of air pollution (Ashby &amp; Fritts 1972; Vinš &amp; Tesař 1969; Thomas 1961).</w:t>
      </w:r>
    </w:p>
    <w:p w:rsidR="001C0D62" w:rsidRDefault="001C0D62">
      <w:pPr>
        <w:spacing w:line="360" w:lineRule="auto"/>
        <w:jc w:val="both"/>
        <w:rPr>
          <w:rFonts w:ascii="Arial" w:hAnsi="Arial" w:cs="Arial"/>
        </w:rPr>
      </w:pPr>
      <w:r>
        <w:rPr>
          <w:rFonts w:ascii="Arial" w:hAnsi="Arial" w:cs="Arial"/>
        </w:rPr>
        <w:t>Insect</w:t>
      </w:r>
      <w:r>
        <w:rPr>
          <w:rFonts w:ascii="Arial" w:hAnsi="Arial" w:cs="Arial"/>
          <w:color w:val="FF0000"/>
        </w:rPr>
        <w:t xml:space="preserve"> </w:t>
      </w:r>
      <w:r>
        <w:rPr>
          <w:rFonts w:ascii="Arial" w:hAnsi="Arial" w:cs="Arial"/>
        </w:rPr>
        <w:t>infestations can be a limiting factor for growth, but</w:t>
      </w:r>
      <w:r>
        <w:rPr>
          <w:rFonts w:ascii="Arial" w:hAnsi="Arial" w:cs="Arial"/>
          <w:color w:val="FF0000"/>
        </w:rPr>
        <w:t xml:space="preserve"> </w:t>
      </w:r>
      <w:r>
        <w:rPr>
          <w:rFonts w:ascii="Arial" w:hAnsi="Arial" w:cs="Arial"/>
        </w:rPr>
        <w:t>are sometimes associated with stressed trees, so in some cases are not the direct cause but a related factor. Some trees, which commonly suffer from insects and beetles following a period of flooding, are pines, oaks, birches etc. (Baughman, 2012).</w:t>
      </w: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rPr>
      </w:pPr>
      <w:r>
        <w:rPr>
          <w:rFonts w:ascii="Arial" w:hAnsi="Arial" w:cs="Arial"/>
        </w:rPr>
        <w:t xml:space="preserve">An investigation was carried out in the </w:t>
      </w:r>
      <w:smartTag w:uri="urn:schemas-microsoft-com:office:smarttags" w:element="PlaceName">
        <w:r>
          <w:rPr>
            <w:rFonts w:ascii="Arial" w:hAnsi="Arial" w:cs="Arial"/>
          </w:rPr>
          <w:t>Taihang</w:t>
        </w:r>
      </w:smartTag>
      <w:r>
        <w:rPr>
          <w:rFonts w:ascii="Arial" w:hAnsi="Arial" w:cs="Arial"/>
        </w:rPr>
        <w:t xml:space="preserve"> </w:t>
      </w:r>
      <w:smartTag w:uri="urn:schemas-microsoft-com:office:smarttags" w:element="PlaceType">
        <w:r>
          <w:rPr>
            <w:rFonts w:ascii="Arial" w:hAnsi="Arial" w:cs="Arial"/>
          </w:rPr>
          <w:t>Mountains</w:t>
        </w:r>
      </w:smartTag>
      <w:r>
        <w:rPr>
          <w:rFonts w:ascii="Arial" w:hAnsi="Arial" w:cs="Arial"/>
        </w:rPr>
        <w:t xml:space="preserve"> in northern </w:t>
      </w:r>
      <w:smartTag w:uri="urn:schemas-microsoft-com:office:smarttags" w:element="country-region">
        <w:smartTag w:uri="urn:schemas-microsoft-com:office:smarttags" w:element="place">
          <w:r>
            <w:rPr>
              <w:rFonts w:ascii="Arial" w:hAnsi="Arial" w:cs="Arial"/>
            </w:rPr>
            <w:t>China</w:t>
          </w:r>
        </w:smartTag>
      </w:smartTag>
      <w:r>
        <w:rPr>
          <w:rFonts w:ascii="Arial" w:hAnsi="Arial" w:cs="Arial"/>
        </w:rPr>
        <w:t>, to assess the factors that influenced growth by using data records etc. Analysis showed that temperature, aspect, precipitation and soil thickness were important factors (Yang et al, 2006). This highlights that in some cases it can be a combination of factors that are important in influencing ring widths.</w:t>
      </w: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b/>
          <w:bCs/>
          <w:sz w:val="26"/>
          <w:u w:val="single"/>
        </w:rPr>
      </w:pPr>
      <w:r>
        <w:rPr>
          <w:rFonts w:ascii="Arial" w:hAnsi="Arial" w:cs="Arial"/>
          <w:b/>
          <w:bCs/>
          <w:sz w:val="26"/>
          <w:u w:val="single"/>
        </w:rPr>
        <w:t>2.13: Conclusion of literature review</w:t>
      </w: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rPr>
      </w:pPr>
      <w:r>
        <w:rPr>
          <w:rFonts w:ascii="Arial" w:hAnsi="Arial" w:cs="Arial"/>
        </w:rPr>
        <w:t>A large proportion of the research examined has produced conflicting results, especially in relation to the effects the climatic conditions from previous years has on radial growth.</w:t>
      </w: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rPr>
      </w:pPr>
      <w:r>
        <w:rPr>
          <w:rFonts w:ascii="Arial" w:hAnsi="Arial" w:cs="Arial"/>
        </w:rPr>
        <w:t>There is not always a direct correlation between a specific factor and increased or decreased growth as this can be species dependent, but ring widths are known to represent a positive correlation with variations in environmental factors (Creber 1977; LaMarche &amp; Fritts 1971). However, this suggests that in most cases trees do show a response in some form or another when the conditions in which they live in alter.</w:t>
      </w: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rPr>
      </w:pPr>
      <w:r>
        <w:rPr>
          <w:rFonts w:ascii="Arial" w:hAnsi="Arial" w:cs="Arial"/>
        </w:rPr>
        <w:t>Altogether, the findings from various studies and researchers do provide evidence that climatic changes have an impact on tree growth. Most of the research indicates that the two major factors influencing radial growth are temperature and precipitation, which forms the basis of this dissertation.</w:t>
      </w:r>
    </w:p>
    <w:p w:rsidR="001C0D62" w:rsidRDefault="001C0D62">
      <w:pPr>
        <w:spacing w:line="360" w:lineRule="auto"/>
        <w:jc w:val="both"/>
        <w:rPr>
          <w:rFonts w:ascii="Arial" w:hAnsi="Arial" w:cs="Arial"/>
        </w:rPr>
      </w:pPr>
    </w:p>
    <w:p w:rsidR="001C0D62" w:rsidRDefault="001C0D62">
      <w:pPr>
        <w:jc w:val="both"/>
        <w:rPr>
          <w:rFonts w:ascii="Arial" w:hAnsi="Arial" w:cs="Arial"/>
        </w:rPr>
      </w:pPr>
    </w:p>
    <w:p w:rsidR="001C0D62" w:rsidRDefault="001C0D62">
      <w:pPr>
        <w:pStyle w:val="BodyText"/>
      </w:pPr>
      <w:r>
        <w:t>Chapter 3.0: Methodology</w:t>
      </w:r>
    </w:p>
    <w:p w:rsidR="001C0D62" w:rsidRDefault="001C0D62">
      <w:pPr>
        <w:pStyle w:val="BodyText"/>
        <w:jc w:val="left"/>
        <w:rPr>
          <w:b w:val="0"/>
          <w:bCs w:val="0"/>
          <w:sz w:val="24"/>
          <w:u w:val="none"/>
        </w:rPr>
      </w:pPr>
    </w:p>
    <w:p w:rsidR="001C0D62" w:rsidRDefault="001C0D62">
      <w:pPr>
        <w:pStyle w:val="BodyText"/>
        <w:jc w:val="left"/>
        <w:rPr>
          <w:b w:val="0"/>
          <w:bCs w:val="0"/>
          <w:sz w:val="24"/>
          <w:u w:val="none"/>
        </w:rPr>
      </w:pPr>
    </w:p>
    <w:p w:rsidR="001C0D62" w:rsidRDefault="001C0D62">
      <w:pPr>
        <w:pStyle w:val="BodyText"/>
        <w:jc w:val="left"/>
        <w:rPr>
          <w:b w:val="0"/>
          <w:bCs w:val="0"/>
          <w:sz w:val="24"/>
          <w:u w:val="none"/>
        </w:rPr>
      </w:pPr>
    </w:p>
    <w:p w:rsidR="001C0D62" w:rsidRDefault="001C0D62">
      <w:pPr>
        <w:pStyle w:val="BodyText"/>
        <w:spacing w:line="360" w:lineRule="auto"/>
        <w:jc w:val="both"/>
        <w:rPr>
          <w:b w:val="0"/>
          <w:bCs w:val="0"/>
          <w:sz w:val="24"/>
          <w:u w:val="none"/>
          <w:lang w:val="en-GB"/>
        </w:rPr>
      </w:pPr>
      <w:r>
        <w:rPr>
          <w:b w:val="0"/>
          <w:bCs w:val="0"/>
          <w:sz w:val="24"/>
          <w:u w:val="none"/>
          <w:lang w:val="en-GB"/>
        </w:rPr>
        <w:t>This chapter will discuss the study site, identify and explain the methods used for the collection of the primary data, as well as the secondary data from the Meteorological records. Although the application of dendrochronology is widely acknowledged and used due to its simplicity and effectiveness, it does have its limitations, which will be discussed in detail. Before any fieldwork was undertaken a risk assessment and an ethical form was completed (Appendix A). Also permission to carry out this research was granted, which is shown in Appendix B.</w:t>
      </w:r>
    </w:p>
    <w:p w:rsidR="001C0D62" w:rsidRDefault="001C0D62">
      <w:pPr>
        <w:pStyle w:val="BodyText"/>
        <w:spacing w:line="360" w:lineRule="auto"/>
        <w:jc w:val="both"/>
        <w:rPr>
          <w:b w:val="0"/>
          <w:bCs w:val="0"/>
          <w:sz w:val="24"/>
          <w:u w:val="none"/>
          <w:lang w:val="en-GB"/>
        </w:rPr>
      </w:pPr>
    </w:p>
    <w:p w:rsidR="001C0D62" w:rsidRDefault="001C0D62">
      <w:pPr>
        <w:pStyle w:val="BodyText"/>
        <w:spacing w:line="360" w:lineRule="auto"/>
        <w:jc w:val="both"/>
        <w:rPr>
          <w:b w:val="0"/>
          <w:bCs w:val="0"/>
          <w:sz w:val="24"/>
          <w:u w:val="none"/>
          <w:lang w:val="en-GB"/>
        </w:rPr>
      </w:pPr>
    </w:p>
    <w:p w:rsidR="001C0D62" w:rsidRDefault="001C0D62">
      <w:pPr>
        <w:pStyle w:val="BodyText"/>
        <w:spacing w:line="360" w:lineRule="auto"/>
        <w:jc w:val="both"/>
        <w:rPr>
          <w:sz w:val="26"/>
          <w:lang w:val="en-GB"/>
        </w:rPr>
      </w:pPr>
      <w:r>
        <w:rPr>
          <w:sz w:val="26"/>
          <w:lang w:val="en-GB"/>
        </w:rPr>
        <w:t>3.1 Research site</w:t>
      </w:r>
    </w:p>
    <w:p w:rsidR="001C0D62" w:rsidRDefault="001C0D62">
      <w:pPr>
        <w:pStyle w:val="BodyText"/>
        <w:spacing w:line="360" w:lineRule="auto"/>
        <w:jc w:val="both"/>
        <w:rPr>
          <w:sz w:val="26"/>
          <w:lang w:val="en-GB"/>
        </w:rPr>
      </w:pPr>
    </w:p>
    <w:p w:rsidR="001C0D62" w:rsidRDefault="001C0D62">
      <w:pPr>
        <w:spacing w:line="360" w:lineRule="auto"/>
        <w:jc w:val="both"/>
        <w:rPr>
          <w:rFonts w:ascii="Arial" w:hAnsi="Arial" w:cs="Arial"/>
        </w:rPr>
      </w:pPr>
      <w:r>
        <w:rPr>
          <w:rFonts w:ascii="Arial" w:hAnsi="Arial" w:cs="Arial"/>
        </w:rPr>
        <w:t>The chosen site for this research is the woodland of Priestley Clough (Biological Heritage site) located in Accrington, Lancashire, in the North West of England (see figures 3.1 and 3.2), extending from grid reference SD 75852770 to SD  77162630 with an average elevation of 175-200m above sea level. The woodland covers an area of approximately 20.49ha. The woodland itself is largely flat in places but some areas are sloping or have slightly higher elevation levels. The ground is well maintained and contains a number of established paths. There are a large variety of indigenous trees within the woodland with this study focusing on Beech (</w:t>
      </w:r>
      <w:r>
        <w:rPr>
          <w:rFonts w:ascii="Arial" w:hAnsi="Arial" w:cs="Arial"/>
          <w:i/>
          <w:iCs/>
        </w:rPr>
        <w:t>Fagus sylvatica</w:t>
      </w:r>
      <w:r>
        <w:rPr>
          <w:rFonts w:ascii="Arial" w:hAnsi="Arial" w:cs="Arial"/>
        </w:rPr>
        <w:t>), Oak (</w:t>
      </w:r>
      <w:r>
        <w:rPr>
          <w:rFonts w:ascii="Arial" w:hAnsi="Arial" w:cs="Arial"/>
          <w:i/>
          <w:iCs/>
        </w:rPr>
        <w:t>Quercus robur</w:t>
      </w:r>
      <w:r>
        <w:rPr>
          <w:rFonts w:ascii="Arial" w:hAnsi="Arial" w:cs="Arial"/>
        </w:rPr>
        <w:t>) and Sycamore (</w:t>
      </w:r>
      <w:r>
        <w:rPr>
          <w:rFonts w:ascii="Arial" w:hAnsi="Arial" w:cs="Arial"/>
          <w:i/>
          <w:iCs/>
        </w:rPr>
        <w:t>Acer pseudoplatanus</w:t>
      </w:r>
      <w:r>
        <w:rPr>
          <w:rFonts w:ascii="Arial" w:hAnsi="Arial" w:cs="Arial"/>
        </w:rPr>
        <w:t xml:space="preserve">). </w:t>
      </w:r>
    </w:p>
    <w:p w:rsidR="001C0D62" w:rsidRDefault="001C0D62">
      <w:pPr>
        <w:pStyle w:val="BodyText"/>
        <w:spacing w:line="360" w:lineRule="auto"/>
        <w:jc w:val="both"/>
        <w:rPr>
          <w:sz w:val="24"/>
          <w:u w:val="none"/>
        </w:rPr>
      </w:pPr>
    </w:p>
    <w:p w:rsidR="001C0D62" w:rsidRDefault="001C0D62">
      <w:pPr>
        <w:pStyle w:val="Heading5"/>
        <w:spacing w:line="360" w:lineRule="auto"/>
        <w:jc w:val="center"/>
        <w:rPr>
          <w:b/>
          <w:bCs/>
        </w:rPr>
      </w:pPr>
      <w:r>
        <w:rPr>
          <w:b/>
          <w:bCs/>
        </w:rPr>
        <w:t xml:space="preserve">Figure 3.0: Map of Priestley Clough </w:t>
      </w:r>
      <w:smartTag w:uri="urn:schemas-microsoft-com:office:smarttags" w:element="City">
        <w:smartTag w:uri="urn:schemas-microsoft-com:office:smarttags" w:element="place">
          <w:r>
            <w:rPr>
              <w:b/>
              <w:bCs/>
            </w:rPr>
            <w:t>Woodland</w:t>
          </w:r>
        </w:smartTag>
      </w:smartTag>
      <w:r>
        <w:rPr>
          <w:b/>
          <w:bCs/>
        </w:rPr>
        <w:t xml:space="preserve"> – the study site</w:t>
      </w:r>
    </w:p>
    <w:p w:rsidR="001C0D62" w:rsidRDefault="001F31B4">
      <w:pPr>
        <w:jc w:val="center"/>
        <w:rPr>
          <w:rFonts w:ascii="Arial" w:hAnsi="Arial" w:cs="Arial"/>
        </w:rPr>
      </w:pPr>
      <w:r>
        <w:rPr>
          <w:rFonts w:ascii="Arial" w:hAnsi="Arial" w:cs="Arial"/>
          <w:noProof/>
          <w:lang w:val="en-GB" w:eastAsia="en-GB"/>
        </w:rPr>
        <w:drawing>
          <wp:inline distT="0" distB="0" distL="0" distR="0">
            <wp:extent cx="5359400" cy="2921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l="43071" t="47235" r="8687" b="17772"/>
                    <a:stretch>
                      <a:fillRect/>
                    </a:stretch>
                  </pic:blipFill>
                  <pic:spPr bwMode="auto">
                    <a:xfrm>
                      <a:off x="0" y="0"/>
                      <a:ext cx="5359400" cy="2921000"/>
                    </a:xfrm>
                    <a:prstGeom prst="rect">
                      <a:avLst/>
                    </a:prstGeom>
                    <a:noFill/>
                    <a:ln>
                      <a:noFill/>
                    </a:ln>
                  </pic:spPr>
                </pic:pic>
              </a:graphicData>
            </a:graphic>
          </wp:inline>
        </w:drawing>
      </w:r>
    </w:p>
    <w:p w:rsidR="001C0D62" w:rsidRDefault="001C0D62">
      <w:pPr>
        <w:pStyle w:val="BodyText"/>
        <w:spacing w:line="360" w:lineRule="auto"/>
        <w:rPr>
          <w:b w:val="0"/>
          <w:bCs w:val="0"/>
          <w:sz w:val="24"/>
          <w:u w:val="none"/>
        </w:rPr>
      </w:pPr>
      <w:r>
        <w:rPr>
          <w:b w:val="0"/>
          <w:bCs w:val="0"/>
          <w:sz w:val="24"/>
          <w:u w:val="none"/>
        </w:rPr>
        <w:t xml:space="preserve">                                                                     (</w:t>
      </w:r>
      <w:smartTag w:uri="urn:schemas-microsoft-com:office:smarttags" w:element="place">
        <w:r>
          <w:rPr>
            <w:b w:val="0"/>
            <w:bCs w:val="0"/>
            <w:sz w:val="24"/>
            <w:u w:val="none"/>
          </w:rPr>
          <w:t>Lancashire</w:t>
        </w:r>
      </w:smartTag>
      <w:r>
        <w:rPr>
          <w:b w:val="0"/>
          <w:bCs w:val="0"/>
          <w:sz w:val="24"/>
          <w:u w:val="none"/>
        </w:rPr>
        <w:t xml:space="preserve"> County Council, 2013).</w:t>
      </w:r>
    </w:p>
    <w:p w:rsidR="001C0D62" w:rsidRDefault="001C0D62">
      <w:pPr>
        <w:pStyle w:val="BodyText"/>
        <w:rPr>
          <w:b w:val="0"/>
          <w:bCs w:val="0"/>
          <w:sz w:val="24"/>
          <w:u w:val="none"/>
        </w:rPr>
      </w:pPr>
    </w:p>
    <w:p w:rsidR="001C0D62" w:rsidRDefault="001C0D62">
      <w:pPr>
        <w:pStyle w:val="Heading9"/>
      </w:pPr>
      <w:r>
        <w:t>Figure 3.1: Map of Priestley Clough – the study site</w:t>
      </w:r>
    </w:p>
    <w:p w:rsidR="001C0D62" w:rsidRDefault="001F31B4">
      <w:pPr>
        <w:jc w:val="both"/>
        <w:rPr>
          <w:rFonts w:ascii="Arial" w:hAnsi="Arial" w:cs="Arial"/>
          <w:lang w:val="en-GB"/>
        </w:rPr>
      </w:pPr>
      <w:r>
        <w:rPr>
          <w:rFonts w:ascii="Arial" w:hAnsi="Arial" w:cs="Arial"/>
          <w:noProof/>
          <w:lang w:val="en-GB" w:eastAsia="en-GB"/>
        </w:rPr>
        <w:drawing>
          <wp:inline distT="0" distB="0" distL="0" distR="0">
            <wp:extent cx="5486400" cy="37719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l="3920" t="8008" r="3920" b="1994"/>
                    <a:stretch>
                      <a:fillRect/>
                    </a:stretch>
                  </pic:blipFill>
                  <pic:spPr bwMode="auto">
                    <a:xfrm>
                      <a:off x="0" y="0"/>
                      <a:ext cx="5486400" cy="3771900"/>
                    </a:xfrm>
                    <a:prstGeom prst="rect">
                      <a:avLst/>
                    </a:prstGeom>
                    <a:noFill/>
                    <a:ln>
                      <a:noFill/>
                    </a:ln>
                  </pic:spPr>
                </pic:pic>
              </a:graphicData>
            </a:graphic>
          </wp:inline>
        </w:drawing>
      </w:r>
    </w:p>
    <w:p w:rsidR="001C0D62" w:rsidRDefault="001C0D62">
      <w:pPr>
        <w:pStyle w:val="BodyText"/>
        <w:rPr>
          <w:b w:val="0"/>
          <w:bCs w:val="0"/>
          <w:sz w:val="24"/>
          <w:u w:val="none"/>
          <w:lang w:val="en-GB"/>
        </w:rPr>
      </w:pPr>
      <w:r>
        <w:rPr>
          <w:b w:val="0"/>
          <w:bCs w:val="0"/>
          <w:sz w:val="24"/>
          <w:u w:val="none"/>
          <w:lang w:val="en-GB"/>
        </w:rPr>
        <w:t xml:space="preserve">                                                                                            (</w:t>
      </w:r>
      <w:smartTag w:uri="urn:schemas-microsoft-com:office:smarttags" w:element="City">
        <w:smartTag w:uri="urn:schemas-microsoft-com:office:smarttags" w:element="place">
          <w:r>
            <w:rPr>
              <w:b w:val="0"/>
              <w:bCs w:val="0"/>
              <w:sz w:val="24"/>
              <w:u w:val="none"/>
              <w:lang w:val="en-GB"/>
            </w:rPr>
            <w:t>Edina</w:t>
          </w:r>
        </w:smartTag>
      </w:smartTag>
      <w:r>
        <w:rPr>
          <w:b w:val="0"/>
          <w:bCs w:val="0"/>
          <w:sz w:val="24"/>
          <w:u w:val="none"/>
          <w:lang w:val="en-GB"/>
        </w:rPr>
        <w:t xml:space="preserve"> Digimap, 2012).</w:t>
      </w:r>
    </w:p>
    <w:p w:rsidR="001C0D62" w:rsidRDefault="001C0D62">
      <w:pPr>
        <w:pStyle w:val="BodyText"/>
        <w:rPr>
          <w:b w:val="0"/>
          <w:bCs w:val="0"/>
          <w:sz w:val="24"/>
          <w:u w:val="none"/>
          <w:lang w:val="en-GB"/>
        </w:rPr>
      </w:pPr>
    </w:p>
    <w:p w:rsidR="001C0D62" w:rsidRDefault="001C0D62">
      <w:pPr>
        <w:pStyle w:val="BodyText2"/>
        <w:rPr>
          <w:lang w:val="en-GB"/>
        </w:rPr>
      </w:pPr>
    </w:p>
    <w:p w:rsidR="001C0D62" w:rsidRDefault="001C0D62">
      <w:pPr>
        <w:pStyle w:val="BodyText2"/>
        <w:spacing w:line="360" w:lineRule="auto"/>
        <w:rPr>
          <w:lang w:val="en-GB"/>
        </w:rPr>
      </w:pPr>
      <w:r>
        <w:rPr>
          <w:lang w:val="en-GB"/>
        </w:rPr>
        <w:t xml:space="preserve">The site factors and location are ideal for this study in order to limit other controls which may affect the results. The woodland consists of a wide variety of species of trees covering a large area of land. There are many expanses of flat land ensuring the gradient will not be a factor, also the soil type remains the same throughout the woodland. The site is situated away from any major roads or industrial sources, minimising the effects of pollution. </w:t>
      </w:r>
    </w:p>
    <w:p w:rsidR="001C0D62" w:rsidRDefault="001C0D62">
      <w:pPr>
        <w:spacing w:line="360" w:lineRule="auto"/>
        <w:jc w:val="both"/>
        <w:rPr>
          <w:rFonts w:ascii="Arial" w:hAnsi="Arial" w:cs="Arial"/>
          <w:lang w:val="en-GB"/>
        </w:rPr>
      </w:pPr>
    </w:p>
    <w:p w:rsidR="001C0D62" w:rsidRDefault="001C0D62">
      <w:pPr>
        <w:spacing w:line="360" w:lineRule="auto"/>
        <w:jc w:val="both"/>
        <w:rPr>
          <w:rFonts w:ascii="Arial" w:hAnsi="Arial" w:cs="Arial"/>
        </w:rPr>
      </w:pPr>
      <w:r>
        <w:rPr>
          <w:rFonts w:ascii="Arial" w:hAnsi="Arial" w:cs="Arial"/>
          <w:lang w:val="en-GB"/>
        </w:rPr>
        <w:t xml:space="preserve">Priestley Clough is a biological heritage site, which is under continuous management to ensure the paths are maintained and impact from the general public is low. </w:t>
      </w:r>
      <w:r>
        <w:rPr>
          <w:rFonts w:ascii="Arial" w:hAnsi="Arial" w:cs="Arial"/>
        </w:rPr>
        <w:t>Priestley Clough has been chosen for this research, as the site history is known, therefore the ages of the trees are known. This ensures the trees selected are of a similar age, which is important when carrying out dendrochronological research as age can be a determining factor influencing growth (Bond 2000; Bond &amp; Franklin 2002; Bogino et al 2009). All trees co-exist on the same site and are subjected to the same climatic conditions.</w:t>
      </w: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rPr>
      </w:pPr>
      <w:r>
        <w:rPr>
          <w:rFonts w:ascii="Arial" w:hAnsi="Arial" w:cs="Arial"/>
        </w:rPr>
        <w:t>For this study, three species of trees (Beech, Oak &amp; Sycamore) will be sampled, obtaining 50 cores for each species. Collecting this number for a data set should enable the results to be more accurate and allow for comparisons and trends to be made. As each species will have a large data set, any damaged cores may be disregarded, still allowing for a sufficient number of samples for analysis. The samples will be able to show the growth patterns of each species over a period covering 40 years, and how they have responded to varying climatic conditions.</w:t>
      </w: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sz w:val="26"/>
        </w:rPr>
      </w:pPr>
      <w:r>
        <w:rPr>
          <w:rFonts w:ascii="Arial" w:hAnsi="Arial" w:cs="Arial"/>
          <w:b/>
          <w:bCs/>
          <w:sz w:val="26"/>
          <w:u w:val="single"/>
        </w:rPr>
        <w:t>3.2: Increment corer/borer</w:t>
      </w:r>
    </w:p>
    <w:p w:rsidR="001C0D62" w:rsidRDefault="001C0D62">
      <w:pPr>
        <w:spacing w:line="360" w:lineRule="auto"/>
        <w:jc w:val="both"/>
        <w:rPr>
          <w:rFonts w:ascii="Arial" w:hAnsi="Arial" w:cs="Arial"/>
          <w:lang w:val="en-GB"/>
        </w:rPr>
      </w:pPr>
    </w:p>
    <w:p w:rsidR="001C0D62" w:rsidRDefault="001C0D62">
      <w:pPr>
        <w:spacing w:line="360" w:lineRule="auto"/>
        <w:jc w:val="both"/>
        <w:rPr>
          <w:rFonts w:ascii="Arial" w:hAnsi="Arial" w:cs="Arial"/>
          <w:lang w:val="en-GB"/>
        </w:rPr>
      </w:pPr>
      <w:r>
        <w:rPr>
          <w:rFonts w:ascii="Arial" w:hAnsi="Arial" w:cs="Arial"/>
          <w:lang w:val="en-GB"/>
        </w:rPr>
        <w:t xml:space="preserve">In order to determine how the climatic conditions have affected tree ring growth, a sample will be obtained from each tree within the study site for analysis using an increment borer. If the coring is carried out correctly there should be no detrimental impact upon the tree. The diameter cores (3mm) enable only a very small portion of the tree to be extracted, minimising the potential for damage. </w:t>
      </w:r>
    </w:p>
    <w:p w:rsidR="001C0D62" w:rsidRDefault="001C0D62">
      <w:pPr>
        <w:spacing w:line="360" w:lineRule="auto"/>
        <w:jc w:val="both"/>
        <w:rPr>
          <w:rFonts w:ascii="Arial" w:hAnsi="Arial" w:cs="Arial"/>
          <w:lang w:val="en-GB"/>
        </w:rPr>
      </w:pPr>
    </w:p>
    <w:p w:rsidR="001C0D62" w:rsidRDefault="001C0D62">
      <w:pPr>
        <w:pStyle w:val="BodyText2"/>
        <w:spacing w:line="360" w:lineRule="auto"/>
        <w:rPr>
          <w:lang w:val="en-GB"/>
        </w:rPr>
      </w:pPr>
      <w:r>
        <w:rPr>
          <w:lang w:val="en-GB"/>
        </w:rPr>
        <w:t xml:space="preserve">The only other alternative to extract information is to fell the trees, which is obviously avoided. With coring, there is often concern over the effect upon tree health. Although extracting cores is considered by some to present the tree with a wound, it is important to note that trees limit this damage by a process known as compartmentalisation (Shigo 1984; Smith 1988). This enables trees to isolate the wounds from new tissues that form, allowing the tree to continue to grow. This does not make the tree more susceptible to death. Only one tree from 100 cored in the 1970’s in New </w:t>
      </w:r>
      <w:smartTag w:uri="urn:schemas-microsoft-com:office:smarttags" w:element="place">
        <w:r>
          <w:rPr>
            <w:lang w:val="en-GB"/>
          </w:rPr>
          <w:t>Zealand</w:t>
        </w:r>
      </w:smartTag>
      <w:r>
        <w:rPr>
          <w:lang w:val="en-GB"/>
        </w:rPr>
        <w:t xml:space="preserve"> has died since, the reason is unknown (Norton, 1998).</w:t>
      </w:r>
    </w:p>
    <w:p w:rsidR="001C0D62" w:rsidRDefault="001C0D62">
      <w:pPr>
        <w:spacing w:line="360" w:lineRule="auto"/>
        <w:jc w:val="both"/>
        <w:rPr>
          <w:rFonts w:ascii="Arial" w:hAnsi="Arial" w:cs="Arial"/>
        </w:rPr>
      </w:pPr>
    </w:p>
    <w:p w:rsidR="001C0D62" w:rsidRDefault="001C0D62">
      <w:pPr>
        <w:pStyle w:val="BodyText2"/>
        <w:spacing w:line="360" w:lineRule="auto"/>
        <w:rPr>
          <w:lang w:val="en-GB"/>
        </w:rPr>
      </w:pPr>
      <w:r>
        <w:rPr>
          <w:lang w:val="en-GB"/>
        </w:rPr>
        <w:t>Importantly a sharp borer reduces the potential impact, as blunt borers may result in cambial damage. Traditionally, to try and prevent potential damage the holes created have been plugged, but studies have suggested that pathogens are still able to enter damaged tissue despite the plug (Lorenz 1944). Commonly, research indicates that the trees less susceptible to damage are those cored just once (Norton, 1998). To reduce any potential damage a 3mm diameter borer will be used.</w:t>
      </w:r>
    </w:p>
    <w:p w:rsidR="001C0D62" w:rsidRDefault="001C0D62">
      <w:pPr>
        <w:pStyle w:val="BodyText2"/>
        <w:spacing w:line="360" w:lineRule="auto"/>
        <w:rPr>
          <w:lang w:val="en-GB"/>
        </w:rPr>
      </w:pPr>
    </w:p>
    <w:p w:rsidR="001C0D62" w:rsidRDefault="001C0D62">
      <w:pPr>
        <w:pStyle w:val="BodyText2"/>
        <w:spacing w:line="360" w:lineRule="auto"/>
        <w:rPr>
          <w:highlight w:val="yellow"/>
          <w:lang w:val="en-GB"/>
        </w:rPr>
      </w:pPr>
      <w:r>
        <w:rPr>
          <w:lang w:val="en-GB"/>
        </w:rPr>
        <w:t>See Appendix C (containing figures 3.2 and 3.3) for set-up and maintenance instructions.</w:t>
      </w: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lang w:val="en-GB"/>
        </w:rPr>
      </w:pPr>
      <w:r>
        <w:rPr>
          <w:rFonts w:ascii="Arial" w:hAnsi="Arial" w:cs="Arial"/>
          <w:lang w:val="en-GB"/>
        </w:rPr>
        <w:t>A detailed explanation for constructing an increment borer can be found in ‘A manual and tutorial for the proper use of an increment borer’ (Grissino-Mayer, 2003).</w:t>
      </w:r>
    </w:p>
    <w:p w:rsidR="001C0D62" w:rsidRDefault="001C0D62">
      <w:pPr>
        <w:spacing w:line="360" w:lineRule="auto"/>
        <w:jc w:val="both"/>
        <w:rPr>
          <w:rFonts w:ascii="Arial" w:hAnsi="Arial" w:cs="Arial"/>
          <w:lang w:val="en-GB"/>
        </w:rPr>
      </w:pPr>
    </w:p>
    <w:p w:rsidR="001C0D62" w:rsidRDefault="001C0D62">
      <w:pPr>
        <w:pStyle w:val="Heading5"/>
        <w:spacing w:line="360" w:lineRule="auto"/>
        <w:rPr>
          <w:b/>
          <w:bCs/>
          <w:sz w:val="26"/>
        </w:rPr>
      </w:pPr>
      <w:r>
        <w:rPr>
          <w:b/>
          <w:bCs/>
          <w:sz w:val="26"/>
        </w:rPr>
        <w:t>3.3: Factors affecting the sampling method</w:t>
      </w:r>
    </w:p>
    <w:p w:rsidR="001C0D62" w:rsidRDefault="001C0D62">
      <w:pPr>
        <w:spacing w:line="360" w:lineRule="auto"/>
        <w:jc w:val="both"/>
        <w:rPr>
          <w:rFonts w:ascii="Arial" w:hAnsi="Arial" w:cs="Arial"/>
          <w:lang w:val="en-GB"/>
        </w:rPr>
      </w:pPr>
    </w:p>
    <w:p w:rsidR="001C0D62" w:rsidRDefault="001C0D62">
      <w:pPr>
        <w:pStyle w:val="Heading6"/>
        <w:spacing w:line="360" w:lineRule="auto"/>
        <w:rPr>
          <w:b/>
          <w:bCs/>
          <w:sz w:val="24"/>
          <w:u w:val="none"/>
        </w:rPr>
      </w:pPr>
      <w:r>
        <w:rPr>
          <w:b/>
          <w:bCs/>
          <w:sz w:val="24"/>
          <w:u w:val="none"/>
        </w:rPr>
        <w:t>Tree rings</w:t>
      </w:r>
    </w:p>
    <w:p w:rsidR="001C0D62" w:rsidRDefault="001C0D62">
      <w:pPr>
        <w:spacing w:line="360" w:lineRule="auto"/>
        <w:jc w:val="both"/>
        <w:rPr>
          <w:rFonts w:ascii="Arial" w:hAnsi="Arial" w:cs="Arial"/>
          <w:lang w:val="en-GB"/>
        </w:rPr>
      </w:pPr>
    </w:p>
    <w:p w:rsidR="001C0D62" w:rsidRDefault="001C0D62">
      <w:pPr>
        <w:spacing w:line="360" w:lineRule="auto"/>
        <w:jc w:val="both"/>
        <w:rPr>
          <w:rFonts w:ascii="Arial" w:hAnsi="Arial" w:cs="Arial"/>
          <w:lang w:val="en-GB"/>
        </w:rPr>
      </w:pPr>
      <w:r>
        <w:rPr>
          <w:rFonts w:ascii="Arial" w:hAnsi="Arial" w:cs="Arial"/>
          <w:lang w:val="en-GB"/>
        </w:rPr>
        <w:t>Each tree forms an annual growth ring, which can be divided into two stages of growth (figure 3.4); earlywood, which is the thin-walled cells which form early in the growing season, appear light in colour and have a large diameter, and latewood, which is the thicker-walled cells which are produced later in the growing season, appear dark in colour and have a small diameter. Together these combine to form the annual rings (Grissino-Mayer 2010; The Laboratory of Tree-Ring Research 2012).</w:t>
      </w:r>
    </w:p>
    <w:p w:rsidR="001C0D62" w:rsidRDefault="001C0D62">
      <w:pPr>
        <w:jc w:val="both"/>
        <w:rPr>
          <w:rFonts w:ascii="Arial" w:hAnsi="Arial" w:cs="Arial"/>
          <w:lang w:val="en-GB"/>
        </w:rPr>
      </w:pPr>
    </w:p>
    <w:p w:rsidR="001C0D62" w:rsidRDefault="001C0D62">
      <w:pPr>
        <w:jc w:val="both"/>
        <w:rPr>
          <w:rFonts w:ascii="Arial" w:hAnsi="Arial" w:cs="Arial"/>
          <w:lang w:val="en-GB"/>
        </w:rPr>
      </w:pPr>
    </w:p>
    <w:p w:rsidR="001C0D62" w:rsidRDefault="001C0D62">
      <w:pPr>
        <w:spacing w:line="360" w:lineRule="auto"/>
        <w:jc w:val="center"/>
        <w:rPr>
          <w:rFonts w:ascii="Arial" w:hAnsi="Arial" w:cs="Arial"/>
          <w:b/>
          <w:u w:val="single"/>
          <w:lang w:val="en"/>
        </w:rPr>
      </w:pPr>
      <w:r>
        <w:rPr>
          <w:rFonts w:ascii="Arial" w:hAnsi="Arial" w:cs="Arial"/>
          <w:b/>
          <w:u w:val="single"/>
          <w:lang w:val="en"/>
        </w:rPr>
        <w:t>Figure 3.4: Cross-sectional view of a tree ring showing the earlywood and latewood</w:t>
      </w:r>
    </w:p>
    <w:p w:rsidR="001C0D62" w:rsidRDefault="001F31B4">
      <w:pPr>
        <w:jc w:val="center"/>
        <w:rPr>
          <w:rFonts w:ascii="Arial" w:hAnsi="Arial" w:cs="Arial"/>
          <w:szCs w:val="21"/>
        </w:rPr>
      </w:pPr>
      <w:r>
        <w:rPr>
          <w:rFonts w:ascii="Arial" w:hAnsi="Arial" w:cs="Arial"/>
          <w:noProof/>
          <w:szCs w:val="21"/>
          <w:lang w:val="en-GB" w:eastAsia="en-GB"/>
        </w:rPr>
        <w:drawing>
          <wp:inline distT="0" distB="0" distL="0" distR="0">
            <wp:extent cx="3378200" cy="1816100"/>
            <wp:effectExtent l="0" t="0" r="0" b="0"/>
            <wp:docPr id="4" name="Picture 4" descr="transverse view of a conifer tree 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ransverse view of a conifer tree ri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78200" cy="1816100"/>
                    </a:xfrm>
                    <a:prstGeom prst="rect">
                      <a:avLst/>
                    </a:prstGeom>
                    <a:noFill/>
                    <a:ln>
                      <a:noFill/>
                    </a:ln>
                  </pic:spPr>
                </pic:pic>
              </a:graphicData>
            </a:graphic>
          </wp:inline>
        </w:drawing>
      </w:r>
    </w:p>
    <w:p w:rsidR="001C0D62" w:rsidRDefault="001C0D62">
      <w:pPr>
        <w:jc w:val="center"/>
        <w:rPr>
          <w:rFonts w:ascii="Arial" w:hAnsi="Arial" w:cs="Arial"/>
        </w:rPr>
      </w:pPr>
      <w:r>
        <w:rPr>
          <w:rFonts w:ascii="Arial" w:hAnsi="Arial" w:cs="Arial"/>
        </w:rPr>
        <w:t>(The Laboratory of Tree-Ring Research, 2012).</w:t>
      </w:r>
    </w:p>
    <w:p w:rsidR="001C0D62" w:rsidRDefault="001C0D62">
      <w:pPr>
        <w:jc w:val="both"/>
        <w:rPr>
          <w:rFonts w:ascii="Arial" w:hAnsi="Arial" w:cs="Arial"/>
          <w:lang w:val="en-GB"/>
        </w:rPr>
      </w:pPr>
    </w:p>
    <w:p w:rsidR="001C0D62" w:rsidRDefault="001C0D62">
      <w:pPr>
        <w:jc w:val="both"/>
        <w:rPr>
          <w:rFonts w:ascii="Arial" w:hAnsi="Arial" w:cs="Arial"/>
        </w:rPr>
      </w:pPr>
    </w:p>
    <w:p w:rsidR="001C0D62" w:rsidRDefault="001C0D62">
      <w:pPr>
        <w:spacing w:line="360" w:lineRule="auto"/>
        <w:jc w:val="both"/>
        <w:rPr>
          <w:rFonts w:ascii="Arial" w:hAnsi="Arial" w:cs="Arial"/>
        </w:rPr>
      </w:pPr>
      <w:r>
        <w:rPr>
          <w:rFonts w:ascii="Arial" w:hAnsi="Arial" w:cs="Arial"/>
        </w:rPr>
        <w:t>As the earlywood and latewood form at different times during the growing season, they capture different climatic conditions. Melvin &amp; Briffa (n.d) discovered the main response to temperature was a high positive correlation in April and May temperatures for latewood, with earlywood responding to late summer months. This is unexpected as earlywood would be expected to be most responsive to spring and early summer temperatures, and latewood responsive to late summer. However, ring-width response to temperature appears to be the mean of the earlywood and latewood (Melvin &amp; Briffa, n.d).</w:t>
      </w: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rPr>
      </w:pPr>
      <w:r>
        <w:rPr>
          <w:rFonts w:ascii="Arial" w:hAnsi="Arial" w:cs="Arial"/>
        </w:rPr>
        <w:t>Novak et al (2013) analysed tree ring widths, as well as earlywood and latewood widths. Their research demonstrated high sensitivity of variation in climatic conditions, with earlywood and latewood being mainly determined by the prevailing climatic conditions during their formation. Their research highlighted that tree-ring widths in addition to anatomical characteristics can aid with better understanding of the seasonal climate on tree ring development (Novak et al, 2013).</w:t>
      </w:r>
    </w:p>
    <w:p w:rsidR="001C0D62" w:rsidRDefault="001C0D62">
      <w:pPr>
        <w:spacing w:line="360" w:lineRule="auto"/>
        <w:jc w:val="both"/>
        <w:rPr>
          <w:rFonts w:ascii="Arial" w:hAnsi="Arial" w:cs="Arial"/>
          <w:lang w:val="en-GB"/>
        </w:rPr>
      </w:pPr>
    </w:p>
    <w:p w:rsidR="001C0D62" w:rsidRDefault="001C0D62">
      <w:pPr>
        <w:spacing w:line="360" w:lineRule="auto"/>
        <w:jc w:val="both"/>
        <w:rPr>
          <w:rFonts w:ascii="Arial" w:hAnsi="Arial" w:cs="Arial"/>
        </w:rPr>
      </w:pPr>
      <w:r>
        <w:rPr>
          <w:rFonts w:ascii="Arial" w:hAnsi="Arial" w:cs="Arial"/>
        </w:rPr>
        <w:t>Although earlywood and latewood are considered separate growing spurts, it is quite difficult to determine where the earlywood ends and where the latewood starts (NADEF, 2012). For this study to determine the effects of temperature and precipitation on each stage of the growing season, it would be too complex to try and analyse them separately.</w:t>
      </w:r>
    </w:p>
    <w:p w:rsidR="001C0D62" w:rsidRDefault="001C0D62">
      <w:pPr>
        <w:spacing w:line="360" w:lineRule="auto"/>
        <w:jc w:val="both"/>
        <w:rPr>
          <w:rFonts w:ascii="Arial" w:hAnsi="Arial" w:cs="Arial"/>
        </w:rPr>
      </w:pPr>
    </w:p>
    <w:p w:rsidR="001C0D62" w:rsidRDefault="001C0D62">
      <w:pPr>
        <w:pStyle w:val="Heading6"/>
        <w:spacing w:line="360" w:lineRule="auto"/>
        <w:rPr>
          <w:b/>
          <w:bCs/>
          <w:sz w:val="24"/>
          <w:u w:val="none"/>
        </w:rPr>
      </w:pPr>
    </w:p>
    <w:p w:rsidR="001C0D62" w:rsidRDefault="001C0D62">
      <w:pPr>
        <w:pStyle w:val="Heading6"/>
        <w:spacing w:line="360" w:lineRule="auto"/>
        <w:rPr>
          <w:b/>
          <w:bCs/>
          <w:sz w:val="24"/>
          <w:u w:val="none"/>
        </w:rPr>
      </w:pPr>
      <w:r>
        <w:rPr>
          <w:b/>
          <w:bCs/>
          <w:sz w:val="24"/>
          <w:u w:val="none"/>
        </w:rPr>
        <w:t>Pith of a tree</w:t>
      </w:r>
    </w:p>
    <w:p w:rsidR="001C0D62" w:rsidRDefault="001C0D62">
      <w:pPr>
        <w:spacing w:line="360" w:lineRule="auto"/>
        <w:jc w:val="both"/>
        <w:rPr>
          <w:rFonts w:ascii="Arial" w:hAnsi="Arial" w:cs="Arial"/>
          <w:lang w:val="en-GB"/>
        </w:rPr>
      </w:pPr>
    </w:p>
    <w:p w:rsidR="001C0D62" w:rsidRDefault="001C0D62">
      <w:pPr>
        <w:spacing w:line="360" w:lineRule="auto"/>
        <w:jc w:val="both"/>
        <w:rPr>
          <w:rFonts w:ascii="Arial" w:hAnsi="Arial" w:cs="Arial"/>
          <w:lang w:val="en-GB"/>
        </w:rPr>
      </w:pPr>
      <w:r>
        <w:rPr>
          <w:rFonts w:ascii="Arial" w:hAnsi="Arial" w:cs="Arial"/>
          <w:lang w:val="en-GB"/>
        </w:rPr>
        <w:t>The pith, located in the centre of each tree is the first stage of growth. It is important for samples collected to contain the pith to ensure accuracy, as the samples would represent each year since the trees formation (Jozsa, 1988). Any cores not containing the pith will be disregarded as the borer may re-record the same year further around the tree as is shown in figure 3.5. Figure 3.5 also shows what a core sample would look like if the whole of a tree had been cored from bark on one side to the other, and highlights how the pith may be recognised.</w:t>
      </w:r>
    </w:p>
    <w:p w:rsidR="001C0D62" w:rsidRDefault="001C0D62">
      <w:pPr>
        <w:spacing w:line="360" w:lineRule="auto"/>
        <w:jc w:val="both"/>
        <w:rPr>
          <w:rFonts w:ascii="Arial" w:hAnsi="Arial" w:cs="Arial"/>
          <w:lang w:val="en-GB"/>
        </w:rPr>
      </w:pPr>
    </w:p>
    <w:p w:rsidR="001C0D62" w:rsidRDefault="001C0D62">
      <w:pPr>
        <w:pStyle w:val="BodyText3"/>
        <w:spacing w:line="360" w:lineRule="auto"/>
        <w:jc w:val="center"/>
        <w:rPr>
          <w:b/>
          <w:bCs/>
          <w:sz w:val="24"/>
          <w:u w:val="single"/>
        </w:rPr>
      </w:pPr>
      <w:r>
        <w:rPr>
          <w:b/>
          <w:bCs/>
          <w:sz w:val="24"/>
          <w:u w:val="single"/>
        </w:rPr>
        <w:t>Figure 3.5: The importance of coring to the pith of a tree and what this looks like in a tree core sample</w:t>
      </w:r>
    </w:p>
    <w:p w:rsidR="001C0D62" w:rsidRDefault="001C0D62">
      <w:pPr>
        <w:spacing w:line="360" w:lineRule="auto"/>
        <w:jc w:val="both"/>
        <w:rPr>
          <w:rFonts w:ascii="Arial" w:hAnsi="Arial" w:cs="Arial"/>
          <w:lang w:val="en-GB"/>
        </w:rPr>
      </w:pPr>
    </w:p>
    <w:p w:rsidR="001C0D62" w:rsidRDefault="001C0D62">
      <w:pPr>
        <w:jc w:val="both"/>
        <w:rPr>
          <w:rFonts w:ascii="Arial" w:hAnsi="Arial" w:cs="Arial"/>
          <w:lang w:val="en-GB"/>
        </w:rPr>
      </w:pPr>
      <w:r>
        <w:object w:dxaOrig="4619" w:dyaOrig="43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270pt;height:256pt" o:ole="">
            <v:imagedata r:id="rId15" o:title=""/>
          </v:shape>
          <o:OLEObject Type="Embed" ProgID="PBrush" ShapeID="_x0000_i1029" DrawAspect="Content" ObjectID="_1432030840" r:id="rId16"/>
        </w:object>
      </w:r>
      <w:r>
        <w:t xml:space="preserve"> </w:t>
      </w:r>
      <w:r>
        <w:object w:dxaOrig="1710" w:dyaOrig="4169">
          <v:shape id="_x0000_i1030" type="#_x0000_t75" style="width:106pt;height:256pt" o:ole="">
            <v:imagedata r:id="rId17" o:title=""/>
          </v:shape>
          <o:OLEObject Type="Embed" ProgID="PBrush" ShapeID="_x0000_i1030" DrawAspect="Content" ObjectID="_1432030841" r:id="rId18"/>
        </w:object>
      </w:r>
    </w:p>
    <w:p w:rsidR="001C0D62" w:rsidRDefault="001C0D62">
      <w:pPr>
        <w:jc w:val="right"/>
        <w:rPr>
          <w:rFonts w:ascii="Arial" w:hAnsi="Arial" w:cs="Arial"/>
          <w:lang w:val="en-GB"/>
        </w:rPr>
      </w:pPr>
      <w:r>
        <w:rPr>
          <w:rFonts w:ascii="Arial" w:hAnsi="Arial" w:cs="Arial"/>
          <w:lang w:val="en-GB"/>
        </w:rPr>
        <w:t>(Author’s own).</w:t>
      </w:r>
    </w:p>
    <w:p w:rsidR="001C0D62" w:rsidRDefault="001C0D62">
      <w:pPr>
        <w:jc w:val="right"/>
        <w:rPr>
          <w:rFonts w:ascii="Arial" w:hAnsi="Arial" w:cs="Arial"/>
          <w:lang w:val="en-GB"/>
        </w:rPr>
      </w:pPr>
    </w:p>
    <w:p w:rsidR="001C0D62" w:rsidRDefault="001C0D62">
      <w:pPr>
        <w:rPr>
          <w:rFonts w:ascii="Arial" w:hAnsi="Arial" w:cs="Arial"/>
          <w:lang w:val="en-GB"/>
        </w:rPr>
      </w:pPr>
    </w:p>
    <w:p w:rsidR="001C0D62" w:rsidRDefault="001C0D62">
      <w:pPr>
        <w:spacing w:line="360" w:lineRule="auto"/>
        <w:jc w:val="both"/>
        <w:rPr>
          <w:rFonts w:ascii="Arial" w:hAnsi="Arial" w:cs="Arial"/>
          <w:b/>
          <w:bCs/>
          <w:lang w:val="en-GB"/>
        </w:rPr>
      </w:pPr>
      <w:r>
        <w:rPr>
          <w:rFonts w:ascii="Arial" w:hAnsi="Arial" w:cs="Arial"/>
          <w:b/>
          <w:bCs/>
          <w:lang w:val="en-GB"/>
        </w:rPr>
        <w:t>False and missing rings</w:t>
      </w:r>
    </w:p>
    <w:p w:rsidR="001C0D62" w:rsidRDefault="001C0D62">
      <w:pPr>
        <w:spacing w:line="360" w:lineRule="auto"/>
        <w:jc w:val="both"/>
        <w:rPr>
          <w:rFonts w:ascii="Arial" w:hAnsi="Arial" w:cs="Arial"/>
          <w:b/>
          <w:bCs/>
          <w:lang w:val="en-GB"/>
        </w:rPr>
      </w:pPr>
    </w:p>
    <w:p w:rsidR="001C0D62" w:rsidRDefault="001C0D62">
      <w:pPr>
        <w:pStyle w:val="BodyText2"/>
        <w:spacing w:line="360" w:lineRule="auto"/>
        <w:rPr>
          <w:lang w:val="en-GB"/>
        </w:rPr>
      </w:pPr>
      <w:r>
        <w:rPr>
          <w:lang w:val="en-GB"/>
        </w:rPr>
        <w:t>False or missing rings can be a major problem with many dendrochronological studies as it is capable of significantly altering the results (Wendland, 1975). A false ring produces an extra ring in a calendar year, thus appearing to have two rings. Equally, a years growth may be missing, both of which lead to incorrect dating. Although their identification is somewhat subjective, by analysing many cores, there is potential for them to be recognised. Any cores that may be unreliable will be discarded, as this will ultimately affect the results. As a large sample size (50) will be collected for each species, the data will be less susceptible to these effects.</w:t>
      </w:r>
    </w:p>
    <w:p w:rsidR="001C0D62" w:rsidRDefault="001C0D62">
      <w:pPr>
        <w:spacing w:line="360" w:lineRule="auto"/>
        <w:jc w:val="both"/>
        <w:rPr>
          <w:rFonts w:ascii="Arial" w:hAnsi="Arial" w:cs="Arial"/>
          <w:b/>
          <w:bCs/>
          <w:lang w:val="en-GB"/>
        </w:rPr>
      </w:pPr>
    </w:p>
    <w:p w:rsidR="001C0D62" w:rsidRDefault="001C0D62">
      <w:pPr>
        <w:spacing w:line="360" w:lineRule="auto"/>
        <w:jc w:val="both"/>
        <w:rPr>
          <w:rFonts w:ascii="Arial" w:hAnsi="Arial" w:cs="Arial"/>
          <w:b/>
          <w:bCs/>
          <w:lang w:val="en-GB"/>
        </w:rPr>
      </w:pPr>
    </w:p>
    <w:p w:rsidR="001C0D62" w:rsidRDefault="001C0D62">
      <w:pPr>
        <w:spacing w:line="360" w:lineRule="auto"/>
        <w:jc w:val="both"/>
        <w:rPr>
          <w:rFonts w:ascii="Arial" w:hAnsi="Arial" w:cs="Arial"/>
          <w:b/>
          <w:bCs/>
          <w:lang w:val="en-GB"/>
        </w:rPr>
      </w:pPr>
    </w:p>
    <w:p w:rsidR="001C0D62" w:rsidRDefault="001C0D62">
      <w:pPr>
        <w:spacing w:line="360" w:lineRule="auto"/>
        <w:jc w:val="both"/>
        <w:rPr>
          <w:rFonts w:ascii="Arial" w:hAnsi="Arial" w:cs="Arial"/>
          <w:b/>
          <w:bCs/>
          <w:lang w:val="en-GB"/>
        </w:rPr>
      </w:pPr>
      <w:r>
        <w:rPr>
          <w:rFonts w:ascii="Arial" w:hAnsi="Arial" w:cs="Arial"/>
          <w:b/>
          <w:bCs/>
          <w:lang w:val="en-GB"/>
        </w:rPr>
        <w:t>Location</w:t>
      </w:r>
    </w:p>
    <w:p w:rsidR="001C0D62" w:rsidRDefault="001C0D62">
      <w:pPr>
        <w:spacing w:line="360" w:lineRule="auto"/>
        <w:jc w:val="both"/>
        <w:rPr>
          <w:rFonts w:ascii="Arial" w:hAnsi="Arial" w:cs="Arial"/>
          <w:sz w:val="20"/>
          <w:szCs w:val="20"/>
          <w:lang w:val="en-GB"/>
        </w:rPr>
      </w:pPr>
    </w:p>
    <w:p w:rsidR="001C0D62" w:rsidRDefault="001C0D62">
      <w:pPr>
        <w:pStyle w:val="BodyText2"/>
        <w:spacing w:line="360" w:lineRule="auto"/>
        <w:rPr>
          <w:lang w:val="en-GB"/>
        </w:rPr>
      </w:pPr>
      <w:r>
        <w:rPr>
          <w:lang w:val="en-GB"/>
        </w:rPr>
        <w:t>By collecting all of the cores from the same site, the non-climatic factors are limited (soil type, gradient, altitude, incoming solar radiation, competition, etc.). Therefore the effect the climatic conditions have had on radial growth will be emphasised.</w:t>
      </w:r>
    </w:p>
    <w:p w:rsidR="001C0D62" w:rsidRDefault="001C0D62">
      <w:pPr>
        <w:pStyle w:val="BodyText2"/>
        <w:spacing w:line="360" w:lineRule="auto"/>
        <w:rPr>
          <w:lang w:val="en-GB"/>
        </w:rPr>
      </w:pPr>
    </w:p>
    <w:p w:rsidR="001C0D62" w:rsidRDefault="001C0D62">
      <w:pPr>
        <w:pStyle w:val="BodyText2"/>
        <w:spacing w:line="360" w:lineRule="auto"/>
        <w:rPr>
          <w:lang w:val="en-GB"/>
        </w:rPr>
      </w:pPr>
    </w:p>
    <w:p w:rsidR="001C0D62" w:rsidRDefault="001C0D62">
      <w:pPr>
        <w:pStyle w:val="Heading6"/>
        <w:spacing w:line="360" w:lineRule="auto"/>
        <w:rPr>
          <w:b/>
          <w:bCs/>
          <w:sz w:val="26"/>
        </w:rPr>
      </w:pPr>
      <w:r>
        <w:rPr>
          <w:b/>
          <w:bCs/>
          <w:sz w:val="26"/>
        </w:rPr>
        <w:t>3.4: Field Methodology</w:t>
      </w:r>
    </w:p>
    <w:p w:rsidR="001C0D62" w:rsidRDefault="001C0D62">
      <w:pPr>
        <w:spacing w:line="360" w:lineRule="auto"/>
        <w:jc w:val="both"/>
        <w:rPr>
          <w:rFonts w:ascii="Arial" w:hAnsi="Arial" w:cs="Arial"/>
          <w:lang w:val="en-GB"/>
        </w:rPr>
      </w:pPr>
    </w:p>
    <w:p w:rsidR="001C0D62" w:rsidRDefault="001C0D62">
      <w:pPr>
        <w:spacing w:line="360" w:lineRule="auto"/>
        <w:jc w:val="both"/>
        <w:rPr>
          <w:rFonts w:ascii="Arial" w:hAnsi="Arial" w:cs="Arial"/>
          <w:b/>
          <w:bCs/>
          <w:lang w:val="en-GB"/>
        </w:rPr>
      </w:pPr>
      <w:r>
        <w:rPr>
          <w:rFonts w:ascii="Arial" w:hAnsi="Arial" w:cs="Arial"/>
          <w:b/>
          <w:bCs/>
          <w:lang w:val="en-GB"/>
        </w:rPr>
        <w:t>Equipment used in the field:</w:t>
      </w:r>
    </w:p>
    <w:p w:rsidR="001C0D62" w:rsidRDefault="001C0D62">
      <w:pPr>
        <w:numPr>
          <w:ilvl w:val="0"/>
          <w:numId w:val="26"/>
        </w:numPr>
        <w:spacing w:line="360" w:lineRule="auto"/>
        <w:jc w:val="both"/>
        <w:rPr>
          <w:rFonts w:ascii="Arial" w:hAnsi="Arial" w:cs="Arial"/>
          <w:lang w:val="en-GB"/>
        </w:rPr>
      </w:pPr>
      <w:r>
        <w:rPr>
          <w:rFonts w:ascii="Arial" w:hAnsi="Arial" w:cs="Arial"/>
          <w:lang w:val="en-GB"/>
        </w:rPr>
        <w:t>Increment corer/borer</w:t>
      </w:r>
    </w:p>
    <w:p w:rsidR="001C0D62" w:rsidRDefault="001C0D62">
      <w:pPr>
        <w:numPr>
          <w:ilvl w:val="0"/>
          <w:numId w:val="26"/>
        </w:numPr>
        <w:spacing w:line="360" w:lineRule="auto"/>
        <w:jc w:val="both"/>
        <w:rPr>
          <w:rFonts w:ascii="Arial" w:hAnsi="Arial" w:cs="Arial"/>
          <w:lang w:val="en-GB"/>
        </w:rPr>
      </w:pPr>
      <w:r>
        <w:rPr>
          <w:rFonts w:ascii="Arial" w:hAnsi="Arial" w:cs="Arial"/>
          <w:lang w:val="en-GB"/>
        </w:rPr>
        <w:t>Wooden mallet</w:t>
      </w:r>
    </w:p>
    <w:p w:rsidR="001C0D62" w:rsidRDefault="001C0D62">
      <w:pPr>
        <w:numPr>
          <w:ilvl w:val="0"/>
          <w:numId w:val="26"/>
        </w:numPr>
        <w:spacing w:line="360" w:lineRule="auto"/>
        <w:jc w:val="both"/>
        <w:rPr>
          <w:rFonts w:ascii="Arial" w:hAnsi="Arial" w:cs="Arial"/>
          <w:lang w:val="en-GB"/>
        </w:rPr>
      </w:pPr>
      <w:r>
        <w:rPr>
          <w:rFonts w:ascii="Arial" w:hAnsi="Arial" w:cs="Arial"/>
          <w:lang w:val="en-GB"/>
        </w:rPr>
        <w:t>Clear freezer bags</w:t>
      </w:r>
    </w:p>
    <w:p w:rsidR="001C0D62" w:rsidRDefault="001C0D62">
      <w:pPr>
        <w:numPr>
          <w:ilvl w:val="0"/>
          <w:numId w:val="26"/>
        </w:numPr>
        <w:spacing w:line="360" w:lineRule="auto"/>
        <w:jc w:val="both"/>
        <w:rPr>
          <w:rFonts w:ascii="Arial" w:hAnsi="Arial" w:cs="Arial"/>
          <w:lang w:val="en-GB"/>
        </w:rPr>
      </w:pPr>
      <w:r>
        <w:rPr>
          <w:rFonts w:ascii="Arial" w:hAnsi="Arial" w:cs="Arial"/>
          <w:lang w:val="en-GB"/>
        </w:rPr>
        <w:t>White labels</w:t>
      </w:r>
    </w:p>
    <w:p w:rsidR="001C0D62" w:rsidRDefault="001C0D62">
      <w:pPr>
        <w:numPr>
          <w:ilvl w:val="0"/>
          <w:numId w:val="26"/>
        </w:numPr>
        <w:spacing w:line="360" w:lineRule="auto"/>
        <w:jc w:val="both"/>
        <w:rPr>
          <w:rFonts w:ascii="Arial" w:hAnsi="Arial" w:cs="Arial"/>
          <w:lang w:val="en-GB"/>
        </w:rPr>
      </w:pPr>
      <w:r>
        <w:rPr>
          <w:rFonts w:ascii="Arial" w:hAnsi="Arial" w:cs="Arial"/>
          <w:lang w:val="en-GB"/>
        </w:rPr>
        <w:t>Pens</w:t>
      </w:r>
    </w:p>
    <w:p w:rsidR="001C0D62" w:rsidRDefault="001C0D62">
      <w:pPr>
        <w:numPr>
          <w:ilvl w:val="0"/>
          <w:numId w:val="26"/>
        </w:numPr>
        <w:spacing w:line="360" w:lineRule="auto"/>
        <w:jc w:val="both"/>
        <w:rPr>
          <w:rFonts w:ascii="Arial" w:hAnsi="Arial" w:cs="Arial"/>
          <w:lang w:val="en-GB"/>
        </w:rPr>
      </w:pPr>
      <w:r>
        <w:rPr>
          <w:rFonts w:ascii="Arial" w:hAnsi="Arial" w:cs="Arial"/>
          <w:lang w:val="en-GB"/>
        </w:rPr>
        <w:t>Box (for storing samples)</w:t>
      </w:r>
    </w:p>
    <w:p w:rsidR="001C0D62" w:rsidRDefault="001C0D62">
      <w:pPr>
        <w:numPr>
          <w:ilvl w:val="0"/>
          <w:numId w:val="26"/>
        </w:numPr>
        <w:spacing w:line="360" w:lineRule="auto"/>
        <w:jc w:val="both"/>
        <w:rPr>
          <w:rFonts w:ascii="Arial" w:hAnsi="Arial" w:cs="Arial"/>
          <w:lang w:val="en-GB"/>
        </w:rPr>
      </w:pPr>
      <w:r>
        <w:rPr>
          <w:rFonts w:ascii="Arial" w:hAnsi="Arial" w:cs="Arial"/>
          <w:lang w:val="en-GB"/>
        </w:rPr>
        <w:t>Field note book</w:t>
      </w:r>
    </w:p>
    <w:p w:rsidR="001C0D62" w:rsidRDefault="001C0D62">
      <w:pPr>
        <w:numPr>
          <w:ilvl w:val="0"/>
          <w:numId w:val="26"/>
        </w:numPr>
        <w:spacing w:line="360" w:lineRule="auto"/>
        <w:jc w:val="both"/>
        <w:rPr>
          <w:rFonts w:ascii="Arial" w:hAnsi="Arial" w:cs="Arial"/>
          <w:lang w:val="en-GB"/>
        </w:rPr>
      </w:pPr>
      <w:r>
        <w:rPr>
          <w:rFonts w:ascii="Arial" w:hAnsi="Arial" w:cs="Arial"/>
          <w:lang w:val="en-GB"/>
        </w:rPr>
        <w:t>Site map</w:t>
      </w:r>
    </w:p>
    <w:p w:rsidR="001C0D62" w:rsidRDefault="001C0D62">
      <w:pPr>
        <w:numPr>
          <w:ilvl w:val="0"/>
          <w:numId w:val="26"/>
        </w:numPr>
        <w:spacing w:line="360" w:lineRule="auto"/>
        <w:jc w:val="both"/>
        <w:rPr>
          <w:rFonts w:ascii="Arial" w:hAnsi="Arial" w:cs="Arial"/>
          <w:lang w:val="en-GB"/>
        </w:rPr>
      </w:pPr>
      <w:r>
        <w:rPr>
          <w:rFonts w:ascii="Arial" w:hAnsi="Arial" w:cs="Arial"/>
          <w:lang w:val="en-GB"/>
        </w:rPr>
        <w:t>Olive oil to clean the corer and to avoid the corer jamming</w:t>
      </w:r>
    </w:p>
    <w:p w:rsidR="001C0D62" w:rsidRDefault="001C0D62">
      <w:pPr>
        <w:numPr>
          <w:ilvl w:val="0"/>
          <w:numId w:val="26"/>
        </w:numPr>
        <w:spacing w:line="360" w:lineRule="auto"/>
        <w:jc w:val="both"/>
        <w:rPr>
          <w:rFonts w:ascii="Arial" w:hAnsi="Arial" w:cs="Arial"/>
          <w:lang w:val="en-GB"/>
        </w:rPr>
      </w:pPr>
      <w:r>
        <w:rPr>
          <w:rFonts w:ascii="Arial" w:hAnsi="Arial" w:cs="Arial"/>
          <w:lang w:val="en-GB"/>
        </w:rPr>
        <w:t>Camera</w:t>
      </w:r>
    </w:p>
    <w:p w:rsidR="001C0D62" w:rsidRDefault="001C0D62">
      <w:pPr>
        <w:numPr>
          <w:ilvl w:val="0"/>
          <w:numId w:val="26"/>
        </w:numPr>
        <w:spacing w:line="360" w:lineRule="auto"/>
        <w:jc w:val="both"/>
        <w:rPr>
          <w:rFonts w:ascii="Arial" w:hAnsi="Arial" w:cs="Arial"/>
          <w:lang w:val="en-GB"/>
        </w:rPr>
      </w:pPr>
      <w:r>
        <w:rPr>
          <w:rFonts w:ascii="Arial" w:hAnsi="Arial" w:cs="Arial"/>
          <w:lang w:val="en-GB"/>
        </w:rPr>
        <w:t>Mobile phone in case of an emergency</w:t>
      </w:r>
    </w:p>
    <w:p w:rsidR="001C0D62" w:rsidRDefault="001C0D62">
      <w:pPr>
        <w:numPr>
          <w:ilvl w:val="0"/>
          <w:numId w:val="26"/>
        </w:numPr>
        <w:spacing w:line="360" w:lineRule="auto"/>
        <w:jc w:val="both"/>
        <w:rPr>
          <w:rFonts w:ascii="Arial" w:hAnsi="Arial" w:cs="Arial"/>
          <w:lang w:val="en-GB"/>
        </w:rPr>
      </w:pPr>
      <w:r>
        <w:rPr>
          <w:rFonts w:ascii="Arial" w:hAnsi="Arial" w:cs="Arial"/>
          <w:lang w:val="en-GB"/>
        </w:rPr>
        <w:t>Hard hat</w:t>
      </w:r>
    </w:p>
    <w:p w:rsidR="001C0D62" w:rsidRDefault="001C0D62">
      <w:pPr>
        <w:numPr>
          <w:ilvl w:val="0"/>
          <w:numId w:val="26"/>
        </w:numPr>
        <w:spacing w:line="360" w:lineRule="auto"/>
        <w:jc w:val="both"/>
        <w:rPr>
          <w:rFonts w:ascii="Arial" w:hAnsi="Arial" w:cs="Arial"/>
          <w:lang w:val="en-GB"/>
        </w:rPr>
      </w:pPr>
      <w:r>
        <w:rPr>
          <w:rFonts w:ascii="Arial" w:hAnsi="Arial" w:cs="Arial"/>
          <w:lang w:val="en-GB"/>
        </w:rPr>
        <w:t>High Visibility Jacket</w:t>
      </w:r>
    </w:p>
    <w:p w:rsidR="001C0D62" w:rsidRDefault="001C0D62">
      <w:pPr>
        <w:jc w:val="both"/>
        <w:rPr>
          <w:rFonts w:ascii="Arial" w:hAnsi="Arial" w:cs="Arial"/>
          <w:lang w:val="en-GB"/>
        </w:rPr>
      </w:pPr>
    </w:p>
    <w:p w:rsidR="001C0D62" w:rsidRDefault="001C0D62">
      <w:pPr>
        <w:jc w:val="both"/>
        <w:rPr>
          <w:rFonts w:ascii="Arial" w:hAnsi="Arial" w:cs="Arial"/>
          <w:lang w:val="en-GB"/>
        </w:rPr>
      </w:pPr>
    </w:p>
    <w:p w:rsidR="001C0D62" w:rsidRDefault="001C0D62">
      <w:pPr>
        <w:pStyle w:val="Heading6"/>
        <w:spacing w:line="360" w:lineRule="auto"/>
        <w:rPr>
          <w:b/>
          <w:bCs/>
          <w:sz w:val="24"/>
          <w:u w:val="none"/>
        </w:rPr>
      </w:pPr>
      <w:r>
        <w:rPr>
          <w:b/>
          <w:bCs/>
          <w:sz w:val="24"/>
          <w:u w:val="none"/>
        </w:rPr>
        <w:t>Method</w:t>
      </w:r>
    </w:p>
    <w:p w:rsidR="001C0D62" w:rsidRDefault="001C0D62">
      <w:pPr>
        <w:spacing w:line="360" w:lineRule="auto"/>
        <w:jc w:val="both"/>
        <w:rPr>
          <w:rFonts w:ascii="Arial" w:hAnsi="Arial" w:cs="Arial"/>
          <w:lang w:val="en-GB"/>
        </w:rPr>
      </w:pPr>
    </w:p>
    <w:p w:rsidR="001C0D62" w:rsidRDefault="001C0D62">
      <w:pPr>
        <w:spacing w:line="360" w:lineRule="auto"/>
        <w:jc w:val="both"/>
        <w:rPr>
          <w:rFonts w:ascii="Arial" w:hAnsi="Arial" w:cs="Arial"/>
          <w:lang w:val="en-GB"/>
        </w:rPr>
      </w:pPr>
      <w:r>
        <w:rPr>
          <w:rFonts w:ascii="Arial" w:hAnsi="Arial" w:cs="Arial"/>
          <w:lang w:val="en-GB"/>
        </w:rPr>
        <w:t>Before carrying out the sampling, a pilot study was undertaken (August 2012) by carrying out a site visit to look around the woodland with Phillip Johnson (Tree and Woodlands Officer for Hyndburn Borough Council), who gave permission for this study to take place at Priestley Clough and who highlighted the areas to be discounted from the study. He also observed several trees being cored to ensure that the technique was applied correctly. The samples were collected during August and September 2012.</w:t>
      </w:r>
    </w:p>
    <w:p w:rsidR="001C0D62" w:rsidRDefault="001C0D62">
      <w:pPr>
        <w:spacing w:line="360" w:lineRule="auto"/>
        <w:jc w:val="both"/>
        <w:rPr>
          <w:rFonts w:ascii="Arial" w:hAnsi="Arial" w:cs="Arial"/>
          <w:lang w:val="en-GB"/>
        </w:rPr>
      </w:pPr>
    </w:p>
    <w:p w:rsidR="001C0D62" w:rsidRDefault="001C0D62">
      <w:pPr>
        <w:numPr>
          <w:ilvl w:val="0"/>
          <w:numId w:val="27"/>
        </w:numPr>
        <w:spacing w:line="360" w:lineRule="auto"/>
        <w:jc w:val="both"/>
        <w:rPr>
          <w:rFonts w:ascii="Arial" w:hAnsi="Arial" w:cs="Arial"/>
          <w:lang w:val="en-GB"/>
        </w:rPr>
      </w:pPr>
      <w:r>
        <w:rPr>
          <w:rFonts w:ascii="Arial" w:hAnsi="Arial" w:cs="Arial"/>
          <w:lang w:val="en-GB"/>
        </w:rPr>
        <w:t xml:space="preserve">The trees chosen were those, which appeared to be the same age, on areas of flat land, etc in order to minimise the effects of differing tree age, the influence of slopes as well as avoiding trees which potentially looked damaged/diseased. </w:t>
      </w:r>
    </w:p>
    <w:p w:rsidR="001C0D62" w:rsidRDefault="001C0D62">
      <w:pPr>
        <w:numPr>
          <w:ilvl w:val="0"/>
          <w:numId w:val="27"/>
        </w:numPr>
        <w:spacing w:line="360" w:lineRule="auto"/>
        <w:jc w:val="both"/>
        <w:rPr>
          <w:rFonts w:ascii="Arial" w:hAnsi="Arial" w:cs="Arial"/>
          <w:lang w:val="en-GB"/>
        </w:rPr>
      </w:pPr>
      <w:r>
        <w:rPr>
          <w:rFonts w:ascii="Arial" w:hAnsi="Arial" w:cs="Arial"/>
          <w:lang w:val="en-GB"/>
        </w:rPr>
        <w:t>Before coring, the borer will be assembled (as described in Appendix C pg Xiii) ensuring it is oiled/clean in order to avoid jamming and passing on any contaminants.</w:t>
      </w:r>
    </w:p>
    <w:p w:rsidR="001C0D62" w:rsidRDefault="001C0D62">
      <w:pPr>
        <w:numPr>
          <w:ilvl w:val="0"/>
          <w:numId w:val="27"/>
        </w:numPr>
        <w:spacing w:line="360" w:lineRule="auto"/>
        <w:jc w:val="both"/>
        <w:rPr>
          <w:rFonts w:ascii="Arial" w:hAnsi="Arial" w:cs="Arial"/>
          <w:lang w:val="en-GB"/>
        </w:rPr>
      </w:pPr>
      <w:r>
        <w:rPr>
          <w:rFonts w:ascii="Arial" w:hAnsi="Arial" w:cs="Arial"/>
          <w:lang w:val="en-GB"/>
        </w:rPr>
        <w:t>When coring, the diameter of the tree will first be measured in order to gauge how far the borer will need to bore into the tree to reach the pith, as this is essential for providing accurate samples.</w:t>
      </w:r>
    </w:p>
    <w:p w:rsidR="001C0D62" w:rsidRDefault="001C0D62">
      <w:pPr>
        <w:numPr>
          <w:ilvl w:val="0"/>
          <w:numId w:val="27"/>
        </w:numPr>
        <w:spacing w:line="360" w:lineRule="auto"/>
        <w:jc w:val="both"/>
        <w:rPr>
          <w:rFonts w:ascii="Arial" w:hAnsi="Arial" w:cs="Arial"/>
          <w:lang w:val="en-GB"/>
        </w:rPr>
      </w:pPr>
      <w:r>
        <w:rPr>
          <w:rFonts w:ascii="Arial" w:hAnsi="Arial" w:cs="Arial"/>
          <w:lang w:val="en-GB"/>
        </w:rPr>
        <w:t>The borer will be placed on the tree trunk at breast height to ensure the height from the ground remains constant throughout the study. Some literature suggests coring from the base of the tree, but in many cases causing difficulties, as the tree age may not be represented fully as well as the difficulty in boring into the tree whilst keeping the corer straight. The borer will be turned clockwise to penetrate the tree (see figure 3.6). Time will be taken for each tree to ensure that this is carried out correctly.</w:t>
      </w:r>
    </w:p>
    <w:p w:rsidR="001C0D62" w:rsidRDefault="001C0D62">
      <w:pPr>
        <w:numPr>
          <w:ilvl w:val="0"/>
          <w:numId w:val="27"/>
        </w:numPr>
        <w:spacing w:line="360" w:lineRule="auto"/>
        <w:jc w:val="both"/>
        <w:rPr>
          <w:rFonts w:ascii="Arial" w:hAnsi="Arial" w:cs="Arial"/>
          <w:lang w:val="en-GB"/>
        </w:rPr>
      </w:pPr>
      <w:r>
        <w:rPr>
          <w:rFonts w:ascii="Arial" w:hAnsi="Arial" w:cs="Arial"/>
          <w:lang w:val="en-GB"/>
        </w:rPr>
        <w:t>When the borer reaches the pith (by checking the diameter length against the spoon) insert the spoon into the shaft slowly and turn the borer anticlockwise until the core snaps (usually half a revolution), enabling the core to be retrieved by sliding the spoon back out of the shaft.</w:t>
      </w:r>
    </w:p>
    <w:p w:rsidR="001C0D62" w:rsidRDefault="001C0D62">
      <w:pPr>
        <w:numPr>
          <w:ilvl w:val="0"/>
          <w:numId w:val="27"/>
        </w:numPr>
        <w:spacing w:line="360" w:lineRule="auto"/>
        <w:jc w:val="both"/>
        <w:rPr>
          <w:rFonts w:ascii="Arial" w:hAnsi="Arial" w:cs="Arial"/>
          <w:lang w:val="en-GB"/>
        </w:rPr>
      </w:pPr>
      <w:r>
        <w:rPr>
          <w:rFonts w:ascii="Arial" w:hAnsi="Arial" w:cs="Arial"/>
          <w:lang w:val="en-GB"/>
        </w:rPr>
        <w:t>The end of the core that has come from the innermost part of the tree (pith) will then be marked by a small pen point in order for data analysis to be much easier back in the laboratory</w:t>
      </w:r>
    </w:p>
    <w:p w:rsidR="001C0D62" w:rsidRDefault="001C0D62">
      <w:pPr>
        <w:numPr>
          <w:ilvl w:val="0"/>
          <w:numId w:val="27"/>
        </w:numPr>
        <w:spacing w:line="360" w:lineRule="auto"/>
        <w:jc w:val="both"/>
        <w:rPr>
          <w:rFonts w:ascii="Arial" w:hAnsi="Arial" w:cs="Arial"/>
          <w:lang w:val="en-GB"/>
        </w:rPr>
      </w:pPr>
      <w:r>
        <w:rPr>
          <w:rFonts w:ascii="Arial" w:hAnsi="Arial" w:cs="Arial"/>
          <w:lang w:val="en-GB"/>
        </w:rPr>
        <w:t>Each core will be placed carefully into a separate freezer bag, which will be labelled and placed into the box to keep them safe as they are very easily snapped.</w:t>
      </w:r>
    </w:p>
    <w:p w:rsidR="001C0D62" w:rsidRDefault="001C0D62">
      <w:pPr>
        <w:numPr>
          <w:ilvl w:val="0"/>
          <w:numId w:val="27"/>
        </w:numPr>
        <w:spacing w:line="360" w:lineRule="auto"/>
        <w:jc w:val="both"/>
        <w:rPr>
          <w:rFonts w:ascii="Arial" w:hAnsi="Arial" w:cs="Arial"/>
          <w:lang w:val="en-GB"/>
        </w:rPr>
      </w:pPr>
      <w:r>
        <w:rPr>
          <w:rFonts w:ascii="Arial" w:hAnsi="Arial" w:cs="Arial"/>
          <w:lang w:val="en-GB"/>
        </w:rPr>
        <w:t>The location of the tree will be marked on the site map in addition to any other relevant features, which will be recorded</w:t>
      </w:r>
      <w:r>
        <w:rPr>
          <w:rFonts w:ascii="Arial" w:hAnsi="Arial" w:cs="Arial"/>
          <w:color w:val="FF0000"/>
          <w:lang w:val="en-GB"/>
        </w:rPr>
        <w:t xml:space="preserve"> </w:t>
      </w:r>
      <w:r>
        <w:rPr>
          <w:rFonts w:ascii="Arial" w:hAnsi="Arial" w:cs="Arial"/>
          <w:lang w:val="en-GB"/>
        </w:rPr>
        <w:t xml:space="preserve">in the field notebook. </w:t>
      </w:r>
    </w:p>
    <w:p w:rsidR="001C0D62" w:rsidRDefault="001C0D62">
      <w:pPr>
        <w:numPr>
          <w:ilvl w:val="0"/>
          <w:numId w:val="27"/>
        </w:numPr>
        <w:spacing w:line="360" w:lineRule="auto"/>
        <w:jc w:val="both"/>
        <w:rPr>
          <w:rFonts w:ascii="Arial" w:hAnsi="Arial" w:cs="Arial"/>
          <w:lang w:val="en-GB"/>
        </w:rPr>
      </w:pPr>
      <w:r>
        <w:rPr>
          <w:rFonts w:ascii="Arial" w:hAnsi="Arial" w:cs="Arial"/>
          <w:lang w:val="en-GB"/>
        </w:rPr>
        <w:t xml:space="preserve">To extract the borer, twist counter clockwise, taking care not to damage the tree. </w:t>
      </w:r>
    </w:p>
    <w:p w:rsidR="001C0D62" w:rsidRDefault="001C0D62">
      <w:pPr>
        <w:numPr>
          <w:ilvl w:val="0"/>
          <w:numId w:val="27"/>
        </w:numPr>
        <w:spacing w:line="360" w:lineRule="auto"/>
        <w:jc w:val="both"/>
        <w:rPr>
          <w:rFonts w:ascii="Arial" w:hAnsi="Arial" w:cs="Arial"/>
          <w:lang w:val="en-GB"/>
        </w:rPr>
      </w:pPr>
      <w:r>
        <w:rPr>
          <w:rFonts w:ascii="Arial" w:hAnsi="Arial" w:cs="Arial"/>
          <w:lang w:val="en-GB"/>
        </w:rPr>
        <w:t>Often once the corer has been extracted the tree would be plugged with inert wax in order to try and avoid damage and potential disease. However, Phillip Johnson (Tree and Woodlands Officer for Hyndburn Borough Council) said that this was not necessary.</w:t>
      </w:r>
    </w:p>
    <w:p w:rsidR="001C0D62" w:rsidRDefault="001C0D62">
      <w:pPr>
        <w:numPr>
          <w:ilvl w:val="0"/>
          <w:numId w:val="27"/>
        </w:numPr>
        <w:spacing w:line="360" w:lineRule="auto"/>
        <w:jc w:val="both"/>
        <w:rPr>
          <w:rFonts w:ascii="Arial" w:hAnsi="Arial" w:cs="Arial"/>
          <w:lang w:val="en-GB"/>
        </w:rPr>
      </w:pPr>
      <w:r>
        <w:rPr>
          <w:rFonts w:ascii="Arial" w:hAnsi="Arial" w:cs="Arial"/>
          <w:lang w:val="en-GB"/>
        </w:rPr>
        <w:t xml:space="preserve">Repeat these steps until 50 samples for each species (Oak, Beech and Sycamore) have been obtained. The borer will be continuously oiled throughout the coring to ensure any potential contaminants are not passed on to other trees as well as avoiding jamming. </w:t>
      </w:r>
    </w:p>
    <w:p w:rsidR="001C0D62" w:rsidRDefault="001C0D62">
      <w:pPr>
        <w:numPr>
          <w:ilvl w:val="0"/>
          <w:numId w:val="27"/>
        </w:numPr>
        <w:spacing w:line="360" w:lineRule="auto"/>
        <w:jc w:val="both"/>
        <w:rPr>
          <w:rFonts w:ascii="Arial" w:hAnsi="Arial" w:cs="Arial"/>
          <w:lang w:val="en-GB"/>
        </w:rPr>
      </w:pPr>
      <w:r>
        <w:rPr>
          <w:rFonts w:ascii="Arial" w:hAnsi="Arial" w:cs="Arial"/>
          <w:lang w:val="en-GB"/>
        </w:rPr>
        <w:t>Cores will be stored in a cool, dry place until taken to the laboratory for analysis (figure 3.7).</w:t>
      </w:r>
    </w:p>
    <w:p w:rsidR="001C0D62" w:rsidRDefault="001C0D62">
      <w:pPr>
        <w:jc w:val="both"/>
        <w:rPr>
          <w:rFonts w:ascii="Arial" w:hAnsi="Arial" w:cs="Arial"/>
          <w:lang w:val="en-GB"/>
        </w:rPr>
      </w:pPr>
    </w:p>
    <w:p w:rsidR="001C0D62" w:rsidRDefault="001C0D62">
      <w:pPr>
        <w:pStyle w:val="BodyText2"/>
        <w:rPr>
          <w:lang w:val="en-GB"/>
        </w:rPr>
      </w:pPr>
    </w:p>
    <w:p w:rsidR="001C0D62" w:rsidRDefault="001C0D62">
      <w:pPr>
        <w:pStyle w:val="Heading5"/>
        <w:spacing w:line="360" w:lineRule="auto"/>
        <w:rPr>
          <w:b/>
          <w:bCs/>
        </w:rPr>
      </w:pPr>
      <w:r>
        <w:rPr>
          <w:u w:val="none"/>
        </w:rPr>
        <w:t xml:space="preserve">      </w:t>
      </w:r>
      <w:r>
        <w:rPr>
          <w:b/>
          <w:bCs/>
        </w:rPr>
        <w:t>Figure 3.6: Coring at breast height</w:t>
      </w:r>
      <w:r>
        <w:rPr>
          <w:b/>
          <w:bCs/>
          <w:u w:val="none"/>
        </w:rPr>
        <w:t xml:space="preserve">                </w:t>
      </w:r>
      <w:r>
        <w:rPr>
          <w:b/>
          <w:bCs/>
        </w:rPr>
        <w:t>Figure 3.7: Tree core sample</w:t>
      </w:r>
    </w:p>
    <w:p w:rsidR="001C0D62" w:rsidRDefault="001F31B4">
      <w:r>
        <w:rPr>
          <w:rFonts w:ascii="Arial" w:hAnsi="Arial" w:cs="Arial"/>
          <w:noProof/>
          <w:lang w:val="en-GB" w:eastAsia="en-GB"/>
        </w:rPr>
        <w:drawing>
          <wp:inline distT="0" distB="0" distL="0" distR="0">
            <wp:extent cx="3086100" cy="23114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86100" cy="2311400"/>
                    </a:xfrm>
                    <a:prstGeom prst="rect">
                      <a:avLst/>
                    </a:prstGeom>
                    <a:noFill/>
                    <a:ln>
                      <a:noFill/>
                    </a:ln>
                  </pic:spPr>
                </pic:pic>
              </a:graphicData>
            </a:graphic>
          </wp:inline>
        </w:drawing>
      </w:r>
      <w:r w:rsidR="001C0D62">
        <w:rPr>
          <w:rFonts w:ascii="Arial" w:hAnsi="Arial" w:cs="Arial"/>
          <w:lang w:val="en-GB"/>
        </w:rPr>
        <w:t xml:space="preserve">                   </w:t>
      </w:r>
      <w:r w:rsidR="001C0D62">
        <w:object w:dxaOrig="9720" w:dyaOrig="7260">
          <v:shape id="_x0000_i1032" type="#_x0000_t75" style="width:91pt;height:181pt" o:ole="">
            <v:imagedata r:id="rId20" o:title="" croptop="3884f" cropleft="21845f" cropright=".3125"/>
          </v:shape>
          <o:OLEObject Type="Embed" ProgID="PBrush" ShapeID="_x0000_i1032" DrawAspect="Content" ObjectID="_1432030842" r:id="rId21"/>
        </w:object>
      </w:r>
    </w:p>
    <w:p w:rsidR="001C0D62" w:rsidRDefault="001C0D62">
      <w:pPr>
        <w:pStyle w:val="BodyText2"/>
        <w:spacing w:line="360" w:lineRule="auto"/>
      </w:pPr>
      <w:r>
        <w:t xml:space="preserve">                                              (Author’s own)                          (Author’s own)</w:t>
      </w:r>
    </w:p>
    <w:p w:rsidR="001C0D62" w:rsidRDefault="001C0D62">
      <w:pPr>
        <w:pStyle w:val="BodyText2"/>
        <w:spacing w:line="360" w:lineRule="auto"/>
      </w:pPr>
    </w:p>
    <w:p w:rsidR="001C0D62" w:rsidRDefault="001C0D62">
      <w:pPr>
        <w:pStyle w:val="BodyText2"/>
        <w:spacing w:line="360" w:lineRule="auto"/>
        <w:rPr>
          <w:lang w:val="en-GB"/>
        </w:rPr>
      </w:pPr>
      <w:r>
        <w:rPr>
          <w:lang w:val="en-GB"/>
        </w:rPr>
        <w:t>A detailed methodology for carrying out tree coring and reducing potential damage can be found in ‘A manual and tutorial for the proper use of an increment borer’ (Grissino-Mayer, 2003). This provides a good basis to refer to when carrying out this type of research.</w:t>
      </w:r>
    </w:p>
    <w:p w:rsidR="001C0D62" w:rsidRDefault="001C0D62">
      <w:pPr>
        <w:pStyle w:val="BodyText2"/>
        <w:spacing w:line="360" w:lineRule="auto"/>
        <w:rPr>
          <w:lang w:val="en-GB"/>
        </w:rPr>
      </w:pPr>
      <w:r>
        <w:rPr>
          <w:b/>
          <w:sz w:val="26"/>
          <w:u w:val="single"/>
          <w:lang w:val="en-GB"/>
        </w:rPr>
        <w:t>3.5: Laboratory Methodology</w:t>
      </w:r>
    </w:p>
    <w:p w:rsidR="001C0D62" w:rsidRDefault="001C0D62">
      <w:pPr>
        <w:spacing w:line="360" w:lineRule="auto"/>
        <w:jc w:val="both"/>
        <w:rPr>
          <w:rFonts w:ascii="Arial" w:hAnsi="Arial" w:cs="Arial"/>
          <w:lang w:val="en-GB"/>
        </w:rPr>
      </w:pPr>
    </w:p>
    <w:p w:rsidR="001C0D62" w:rsidRDefault="001C0D62">
      <w:pPr>
        <w:spacing w:line="360" w:lineRule="auto"/>
        <w:jc w:val="both"/>
        <w:rPr>
          <w:rFonts w:ascii="Arial" w:hAnsi="Arial" w:cs="Arial"/>
          <w:b/>
          <w:lang w:val="en-GB"/>
        </w:rPr>
      </w:pPr>
      <w:r>
        <w:rPr>
          <w:rFonts w:ascii="Arial" w:hAnsi="Arial" w:cs="Arial"/>
          <w:b/>
          <w:lang w:val="en-GB"/>
        </w:rPr>
        <w:t>Equipment</w:t>
      </w:r>
    </w:p>
    <w:p w:rsidR="001C0D62" w:rsidRDefault="001C0D62">
      <w:pPr>
        <w:numPr>
          <w:ilvl w:val="0"/>
          <w:numId w:val="28"/>
        </w:numPr>
        <w:spacing w:line="360" w:lineRule="auto"/>
        <w:jc w:val="both"/>
        <w:rPr>
          <w:rFonts w:ascii="Arial" w:hAnsi="Arial" w:cs="Arial"/>
          <w:lang w:val="en-GB"/>
        </w:rPr>
      </w:pPr>
      <w:r>
        <w:rPr>
          <w:rFonts w:ascii="Arial" w:hAnsi="Arial" w:cs="Arial"/>
          <w:lang w:val="en-GB"/>
        </w:rPr>
        <w:t>Microscope with light</w:t>
      </w:r>
    </w:p>
    <w:p w:rsidR="001C0D62" w:rsidRDefault="001C0D62">
      <w:pPr>
        <w:numPr>
          <w:ilvl w:val="0"/>
          <w:numId w:val="28"/>
        </w:numPr>
        <w:spacing w:line="360" w:lineRule="auto"/>
        <w:jc w:val="both"/>
        <w:rPr>
          <w:rFonts w:ascii="Arial" w:hAnsi="Arial" w:cs="Arial"/>
          <w:lang w:val="en-GB"/>
        </w:rPr>
      </w:pPr>
      <w:r>
        <w:rPr>
          <w:rFonts w:ascii="Arial" w:hAnsi="Arial" w:cs="Arial"/>
          <w:lang w:val="en-GB"/>
        </w:rPr>
        <w:t>Digital calliper</w:t>
      </w:r>
    </w:p>
    <w:p w:rsidR="001C0D62" w:rsidRDefault="001C0D62">
      <w:pPr>
        <w:numPr>
          <w:ilvl w:val="0"/>
          <w:numId w:val="28"/>
        </w:numPr>
        <w:spacing w:line="360" w:lineRule="auto"/>
        <w:jc w:val="both"/>
        <w:rPr>
          <w:rFonts w:ascii="Arial" w:hAnsi="Arial" w:cs="Arial"/>
          <w:lang w:val="en-GB"/>
        </w:rPr>
      </w:pPr>
      <w:r>
        <w:rPr>
          <w:rFonts w:ascii="Arial" w:hAnsi="Arial" w:cs="Arial"/>
          <w:lang w:val="en-GB"/>
        </w:rPr>
        <w:t>Tree core stand</w:t>
      </w:r>
    </w:p>
    <w:p w:rsidR="001C0D62" w:rsidRDefault="001C0D62">
      <w:pPr>
        <w:numPr>
          <w:ilvl w:val="0"/>
          <w:numId w:val="28"/>
        </w:numPr>
        <w:spacing w:line="360" w:lineRule="auto"/>
        <w:jc w:val="both"/>
        <w:rPr>
          <w:rFonts w:ascii="Arial" w:hAnsi="Arial" w:cs="Arial"/>
          <w:lang w:val="en-GB"/>
        </w:rPr>
      </w:pPr>
      <w:r>
        <w:rPr>
          <w:rFonts w:ascii="Arial" w:hAnsi="Arial" w:cs="Arial"/>
          <w:lang w:val="en-GB"/>
        </w:rPr>
        <w:t>Charts for recording data (ring widths)</w:t>
      </w:r>
    </w:p>
    <w:p w:rsidR="001C0D62" w:rsidRDefault="001C0D62">
      <w:pPr>
        <w:numPr>
          <w:ilvl w:val="0"/>
          <w:numId w:val="28"/>
        </w:numPr>
        <w:spacing w:line="360" w:lineRule="auto"/>
        <w:jc w:val="both"/>
        <w:rPr>
          <w:rFonts w:ascii="Arial" w:hAnsi="Arial" w:cs="Arial"/>
          <w:b/>
          <w:lang w:val="en-GB"/>
        </w:rPr>
      </w:pPr>
      <w:r>
        <w:rPr>
          <w:rFonts w:ascii="Arial" w:hAnsi="Arial" w:cs="Arial"/>
          <w:lang w:val="en-GB"/>
        </w:rPr>
        <w:t>Pens</w:t>
      </w:r>
    </w:p>
    <w:p w:rsidR="001C0D62" w:rsidRDefault="001C0D62">
      <w:pPr>
        <w:spacing w:line="360" w:lineRule="auto"/>
        <w:jc w:val="both"/>
        <w:rPr>
          <w:rFonts w:ascii="Arial" w:hAnsi="Arial" w:cs="Arial"/>
          <w:b/>
          <w:lang w:val="en-GB"/>
        </w:rPr>
      </w:pPr>
    </w:p>
    <w:p w:rsidR="001C0D62" w:rsidRDefault="001C0D62">
      <w:pPr>
        <w:spacing w:line="360" w:lineRule="auto"/>
        <w:jc w:val="both"/>
        <w:rPr>
          <w:rFonts w:ascii="Arial" w:hAnsi="Arial" w:cs="Arial"/>
          <w:b/>
          <w:lang w:val="en-GB"/>
        </w:rPr>
      </w:pPr>
      <w:r>
        <w:rPr>
          <w:rFonts w:ascii="Arial" w:hAnsi="Arial" w:cs="Arial"/>
          <w:b/>
          <w:lang w:val="en-GB"/>
        </w:rPr>
        <w:t>Method</w:t>
      </w:r>
    </w:p>
    <w:p w:rsidR="001C0D62" w:rsidRDefault="001C0D62">
      <w:pPr>
        <w:numPr>
          <w:ilvl w:val="0"/>
          <w:numId w:val="29"/>
        </w:numPr>
        <w:spacing w:line="360" w:lineRule="auto"/>
        <w:jc w:val="both"/>
        <w:rPr>
          <w:rFonts w:ascii="Arial" w:hAnsi="Arial" w:cs="Arial"/>
          <w:lang w:val="en-GB"/>
        </w:rPr>
      </w:pPr>
      <w:r>
        <w:rPr>
          <w:rFonts w:ascii="Arial" w:hAnsi="Arial" w:cs="Arial"/>
          <w:lang w:val="en-GB"/>
        </w:rPr>
        <w:t xml:space="preserve">To measure the ring widths, each sample will be placed on the tree core stand to reduce movement and assist with accuracy. </w:t>
      </w:r>
    </w:p>
    <w:p w:rsidR="001C0D62" w:rsidRDefault="001C0D62">
      <w:pPr>
        <w:numPr>
          <w:ilvl w:val="0"/>
          <w:numId w:val="29"/>
        </w:numPr>
        <w:spacing w:line="360" w:lineRule="auto"/>
        <w:jc w:val="both"/>
        <w:rPr>
          <w:rFonts w:ascii="Arial" w:hAnsi="Arial" w:cs="Arial"/>
          <w:lang w:val="en-GB"/>
        </w:rPr>
      </w:pPr>
      <w:r>
        <w:rPr>
          <w:rFonts w:ascii="Arial" w:hAnsi="Arial" w:cs="Arial"/>
          <w:lang w:val="en-GB"/>
        </w:rPr>
        <w:t xml:space="preserve">This stand will be placed under the microscope. Strong light will be available to make identification easier and therefore the results more accurate/reliable. </w:t>
      </w:r>
    </w:p>
    <w:p w:rsidR="001C0D62" w:rsidRDefault="001C0D62">
      <w:pPr>
        <w:numPr>
          <w:ilvl w:val="0"/>
          <w:numId w:val="29"/>
        </w:numPr>
        <w:spacing w:line="360" w:lineRule="auto"/>
        <w:jc w:val="both"/>
        <w:rPr>
          <w:rFonts w:ascii="Arial" w:hAnsi="Arial" w:cs="Arial"/>
          <w:lang w:val="en-GB"/>
        </w:rPr>
      </w:pPr>
      <w:r>
        <w:rPr>
          <w:rFonts w:ascii="Arial" w:hAnsi="Arial" w:cs="Arial"/>
          <w:lang w:val="en-GB"/>
        </w:rPr>
        <w:t xml:space="preserve">Each ring will be measured from the start of the earlywood to the end of the latewood, from the bark end of each sample (2012) using a digital calliper (accurate to 0.01mm), as this enables clear identification. </w:t>
      </w:r>
    </w:p>
    <w:p w:rsidR="001C0D62" w:rsidRDefault="001C0D62">
      <w:pPr>
        <w:numPr>
          <w:ilvl w:val="0"/>
          <w:numId w:val="29"/>
        </w:numPr>
        <w:spacing w:line="360" w:lineRule="auto"/>
        <w:jc w:val="both"/>
        <w:rPr>
          <w:rFonts w:ascii="Arial" w:hAnsi="Arial" w:cs="Arial"/>
          <w:lang w:val="en-GB"/>
        </w:rPr>
      </w:pPr>
      <w:r>
        <w:rPr>
          <w:rFonts w:ascii="Arial" w:hAnsi="Arial" w:cs="Arial"/>
          <w:lang w:val="en-GB"/>
        </w:rPr>
        <w:t xml:space="preserve">Time will be taken to ensure that the measurements are accurate, and then recorded onto charts for each sample for the 40 year time period. Any rings, which are unclear, will be discarded from the study. </w:t>
      </w:r>
    </w:p>
    <w:p w:rsidR="001C0D62" w:rsidRDefault="001C0D62">
      <w:pPr>
        <w:spacing w:line="360" w:lineRule="auto"/>
        <w:jc w:val="both"/>
        <w:rPr>
          <w:rFonts w:ascii="Arial" w:hAnsi="Arial" w:cs="Arial"/>
          <w:lang w:val="en-GB"/>
        </w:rPr>
      </w:pPr>
    </w:p>
    <w:p w:rsidR="001C0D62" w:rsidRDefault="001C0D62">
      <w:pPr>
        <w:spacing w:line="360" w:lineRule="auto"/>
        <w:jc w:val="both"/>
        <w:rPr>
          <w:rFonts w:ascii="Arial" w:hAnsi="Arial" w:cs="Arial"/>
          <w:b/>
          <w:sz w:val="26"/>
          <w:u w:val="single"/>
          <w:lang w:val="en-GB"/>
        </w:rPr>
      </w:pPr>
    </w:p>
    <w:p w:rsidR="001C0D62" w:rsidRDefault="001C0D62">
      <w:pPr>
        <w:spacing w:line="360" w:lineRule="auto"/>
        <w:jc w:val="both"/>
        <w:rPr>
          <w:rFonts w:ascii="Arial" w:hAnsi="Arial" w:cs="Arial"/>
          <w:b/>
          <w:sz w:val="26"/>
          <w:u w:val="single"/>
          <w:lang w:val="en-GB"/>
        </w:rPr>
      </w:pPr>
      <w:r>
        <w:rPr>
          <w:rFonts w:ascii="Arial" w:hAnsi="Arial" w:cs="Arial"/>
          <w:b/>
          <w:sz w:val="26"/>
          <w:u w:val="single"/>
          <w:lang w:val="en-GB"/>
        </w:rPr>
        <w:t>3.6: Analysis Methodology</w:t>
      </w:r>
    </w:p>
    <w:p w:rsidR="001C0D62" w:rsidRDefault="001C0D62">
      <w:pPr>
        <w:spacing w:line="360" w:lineRule="auto"/>
        <w:jc w:val="both"/>
        <w:rPr>
          <w:rFonts w:ascii="Arial" w:hAnsi="Arial" w:cs="Arial"/>
          <w:b/>
          <w:u w:val="single"/>
          <w:lang w:val="en-GB"/>
        </w:rPr>
      </w:pPr>
    </w:p>
    <w:p w:rsidR="001C0D62" w:rsidRDefault="001C0D62">
      <w:pPr>
        <w:spacing w:line="360" w:lineRule="auto"/>
        <w:jc w:val="both"/>
        <w:rPr>
          <w:rFonts w:ascii="Arial" w:hAnsi="Arial" w:cs="Arial"/>
          <w:b/>
          <w:lang w:val="en-GB"/>
        </w:rPr>
      </w:pPr>
      <w:r>
        <w:rPr>
          <w:rFonts w:ascii="Arial" w:hAnsi="Arial" w:cs="Arial"/>
          <w:b/>
          <w:lang w:val="en-GB"/>
        </w:rPr>
        <w:t>Equipment</w:t>
      </w:r>
    </w:p>
    <w:p w:rsidR="001C0D62" w:rsidRDefault="001C0D62">
      <w:pPr>
        <w:numPr>
          <w:ilvl w:val="0"/>
          <w:numId w:val="30"/>
        </w:numPr>
        <w:spacing w:line="360" w:lineRule="auto"/>
        <w:jc w:val="both"/>
        <w:rPr>
          <w:rFonts w:ascii="Arial" w:hAnsi="Arial" w:cs="Arial"/>
          <w:lang w:val="en-GB"/>
        </w:rPr>
      </w:pPr>
      <w:r>
        <w:rPr>
          <w:rFonts w:ascii="Arial" w:hAnsi="Arial" w:cs="Arial"/>
          <w:lang w:val="en-GB"/>
        </w:rPr>
        <w:t>Computer</w:t>
      </w:r>
    </w:p>
    <w:p w:rsidR="001C0D62" w:rsidRDefault="001C0D62">
      <w:pPr>
        <w:numPr>
          <w:ilvl w:val="0"/>
          <w:numId w:val="30"/>
        </w:numPr>
        <w:spacing w:line="360" w:lineRule="auto"/>
        <w:jc w:val="both"/>
        <w:rPr>
          <w:rFonts w:ascii="Arial" w:hAnsi="Arial" w:cs="Arial"/>
          <w:lang w:val="en-GB"/>
        </w:rPr>
      </w:pPr>
      <w:r>
        <w:rPr>
          <w:rFonts w:ascii="Arial" w:hAnsi="Arial" w:cs="Arial"/>
          <w:lang w:val="en-GB"/>
        </w:rPr>
        <w:t>Microsoft Excel</w:t>
      </w:r>
    </w:p>
    <w:p w:rsidR="001C0D62" w:rsidRDefault="001C0D62">
      <w:pPr>
        <w:numPr>
          <w:ilvl w:val="0"/>
          <w:numId w:val="30"/>
        </w:numPr>
        <w:spacing w:line="360" w:lineRule="auto"/>
        <w:jc w:val="both"/>
        <w:rPr>
          <w:rFonts w:ascii="Arial" w:hAnsi="Arial" w:cs="Arial"/>
          <w:lang w:val="en-GB"/>
        </w:rPr>
      </w:pPr>
      <w:r>
        <w:rPr>
          <w:rFonts w:ascii="Arial" w:hAnsi="Arial" w:cs="Arial"/>
          <w:lang w:val="en-GB"/>
        </w:rPr>
        <w:t>Minitab (statistical software)</w:t>
      </w:r>
    </w:p>
    <w:p w:rsidR="001C0D62" w:rsidRDefault="001C0D62">
      <w:pPr>
        <w:spacing w:line="360" w:lineRule="auto"/>
        <w:jc w:val="both"/>
        <w:rPr>
          <w:rFonts w:ascii="Arial" w:hAnsi="Arial" w:cs="Arial"/>
          <w:lang w:val="en-GB"/>
        </w:rPr>
      </w:pPr>
    </w:p>
    <w:p w:rsidR="001C0D62" w:rsidRDefault="001C0D62">
      <w:pPr>
        <w:spacing w:line="360" w:lineRule="auto"/>
        <w:jc w:val="both"/>
        <w:rPr>
          <w:rFonts w:ascii="Arial" w:hAnsi="Arial" w:cs="Arial"/>
          <w:b/>
          <w:lang w:val="en-GB"/>
        </w:rPr>
      </w:pPr>
    </w:p>
    <w:p w:rsidR="001C0D62" w:rsidRDefault="001C0D62">
      <w:pPr>
        <w:spacing w:line="360" w:lineRule="auto"/>
        <w:jc w:val="both"/>
        <w:rPr>
          <w:rFonts w:ascii="Arial" w:hAnsi="Arial" w:cs="Arial"/>
          <w:b/>
          <w:lang w:val="en-GB"/>
        </w:rPr>
      </w:pPr>
      <w:r>
        <w:rPr>
          <w:rFonts w:ascii="Arial" w:hAnsi="Arial" w:cs="Arial"/>
          <w:b/>
          <w:lang w:val="en-GB"/>
        </w:rPr>
        <w:t>Methodology</w:t>
      </w:r>
    </w:p>
    <w:p w:rsidR="001C0D62" w:rsidRDefault="001C0D62">
      <w:pPr>
        <w:numPr>
          <w:ilvl w:val="0"/>
          <w:numId w:val="31"/>
        </w:numPr>
        <w:spacing w:line="360" w:lineRule="auto"/>
        <w:jc w:val="both"/>
        <w:rPr>
          <w:rFonts w:ascii="Arial" w:hAnsi="Arial" w:cs="Arial"/>
          <w:lang w:val="en-GB"/>
        </w:rPr>
      </w:pPr>
      <w:r>
        <w:rPr>
          <w:rFonts w:ascii="Arial" w:hAnsi="Arial" w:cs="Arial"/>
          <w:lang w:val="en-GB"/>
        </w:rPr>
        <w:t>The tabulated ring width measurements recorded in the laboratory will be placed in Microsoft excel for each species ranging from 1972-2012. The average ring width for each species will be calculated for each year of growth.</w:t>
      </w:r>
    </w:p>
    <w:p w:rsidR="001C0D62" w:rsidRDefault="001C0D62">
      <w:pPr>
        <w:numPr>
          <w:ilvl w:val="0"/>
          <w:numId w:val="31"/>
        </w:numPr>
        <w:spacing w:line="360" w:lineRule="auto"/>
        <w:jc w:val="both"/>
        <w:rPr>
          <w:rFonts w:ascii="Arial" w:hAnsi="Arial" w:cs="Arial"/>
          <w:lang w:val="en-GB"/>
        </w:rPr>
      </w:pPr>
      <w:r>
        <w:rPr>
          <w:rFonts w:ascii="Arial" w:hAnsi="Arial" w:cs="Arial"/>
          <w:lang w:val="en-GB"/>
        </w:rPr>
        <w:t xml:space="preserve">The secondary data used within this study will be the meteorological data provided by the Meteorological Office, containing temperature and precipitation records between 1972 and 2012. The annual averages for each record will be calculated. </w:t>
      </w:r>
    </w:p>
    <w:p w:rsidR="001C0D62" w:rsidRDefault="001C0D62">
      <w:pPr>
        <w:numPr>
          <w:ilvl w:val="0"/>
          <w:numId w:val="31"/>
        </w:numPr>
        <w:spacing w:line="360" w:lineRule="auto"/>
        <w:jc w:val="both"/>
        <w:rPr>
          <w:rFonts w:ascii="Arial" w:hAnsi="Arial" w:cs="Arial"/>
          <w:lang w:val="en-GB"/>
        </w:rPr>
      </w:pPr>
      <w:r>
        <w:rPr>
          <w:rFonts w:ascii="Arial" w:hAnsi="Arial" w:cs="Arial"/>
          <w:lang w:val="en-GB"/>
        </w:rPr>
        <w:t>Any anomalous results or potentially important figures will be highlighted in order for investigations to be made.</w:t>
      </w:r>
    </w:p>
    <w:p w:rsidR="001C0D62" w:rsidRDefault="001C0D62">
      <w:pPr>
        <w:numPr>
          <w:ilvl w:val="0"/>
          <w:numId w:val="31"/>
        </w:numPr>
        <w:spacing w:line="360" w:lineRule="auto"/>
        <w:jc w:val="both"/>
        <w:rPr>
          <w:rFonts w:ascii="Arial" w:hAnsi="Arial" w:cs="Arial"/>
          <w:lang w:val="en-GB"/>
        </w:rPr>
      </w:pPr>
      <w:r>
        <w:rPr>
          <w:rFonts w:ascii="Arial" w:hAnsi="Arial" w:cs="Arial"/>
          <w:lang w:val="en-GB"/>
        </w:rPr>
        <w:t>Graphs will be produced in order to enable patterns and analysis to be completed for each species.</w:t>
      </w:r>
    </w:p>
    <w:p w:rsidR="001C0D62" w:rsidRDefault="001C0D62">
      <w:pPr>
        <w:numPr>
          <w:ilvl w:val="0"/>
          <w:numId w:val="31"/>
        </w:numPr>
        <w:spacing w:line="360" w:lineRule="auto"/>
        <w:jc w:val="both"/>
        <w:rPr>
          <w:rFonts w:ascii="Arial" w:hAnsi="Arial" w:cs="Arial"/>
          <w:lang w:val="en-GB"/>
        </w:rPr>
      </w:pPr>
      <w:r>
        <w:rPr>
          <w:rFonts w:ascii="Arial" w:hAnsi="Arial" w:cs="Arial"/>
          <w:lang w:val="en-GB"/>
        </w:rPr>
        <w:t xml:space="preserve">Minitab 16 will be used in order to undertake normality tests; correlation and significance tests will be investigated by calculating the correlation coefficient. This will aid with analysing the data, as patterns and levels of significance will illustrate the effect climatic conditions have had on tree growth. </w:t>
      </w:r>
    </w:p>
    <w:p w:rsidR="001C0D62" w:rsidRDefault="001C0D62">
      <w:pPr>
        <w:spacing w:line="360" w:lineRule="auto"/>
        <w:jc w:val="both"/>
        <w:rPr>
          <w:rFonts w:ascii="Arial" w:hAnsi="Arial" w:cs="Arial"/>
          <w:lang w:val="en-GB"/>
        </w:rPr>
      </w:pPr>
    </w:p>
    <w:p w:rsidR="001C0D62" w:rsidRDefault="001C0D62">
      <w:pPr>
        <w:spacing w:line="360" w:lineRule="auto"/>
        <w:jc w:val="both"/>
        <w:rPr>
          <w:rFonts w:ascii="Arial" w:hAnsi="Arial" w:cs="Arial"/>
          <w:lang w:val="en-GB"/>
        </w:rPr>
      </w:pPr>
      <w:r>
        <w:rPr>
          <w:rFonts w:ascii="Arial" w:hAnsi="Arial" w:cs="Arial"/>
          <w:lang w:val="en-GB"/>
        </w:rPr>
        <w:t>Detailed methodologies of how to perform and analyse data sets can be found in ‘Introduction to Statistics &amp; Data Analysis’ (Peck et al, 2008).</w:t>
      </w:r>
    </w:p>
    <w:p w:rsidR="001C0D62" w:rsidRDefault="001C0D62">
      <w:pPr>
        <w:spacing w:line="360" w:lineRule="auto"/>
        <w:jc w:val="both"/>
        <w:rPr>
          <w:rFonts w:ascii="Arial" w:hAnsi="Arial" w:cs="Arial"/>
          <w:lang w:val="en-GB"/>
        </w:rPr>
      </w:pPr>
    </w:p>
    <w:p w:rsidR="001C0D62" w:rsidRDefault="001C0D62">
      <w:pPr>
        <w:spacing w:line="360" w:lineRule="auto"/>
        <w:jc w:val="both"/>
        <w:rPr>
          <w:rFonts w:ascii="Arial" w:hAnsi="Arial" w:cs="Arial"/>
          <w:lang w:val="en-GB"/>
        </w:rPr>
      </w:pPr>
      <w:r>
        <w:rPr>
          <w:rFonts w:ascii="Arial" w:hAnsi="Arial" w:cs="Arial"/>
          <w:lang w:val="en-GB"/>
        </w:rPr>
        <w:t>The results from this study will be further analysed by comparing the results with those from previous studies in order to determine if there are similarities between the results of this research and published studies.</w:t>
      </w:r>
    </w:p>
    <w:p w:rsidR="001C0D62" w:rsidRDefault="001C0D62">
      <w:pPr>
        <w:jc w:val="both"/>
        <w:rPr>
          <w:rFonts w:ascii="Arial" w:hAnsi="Arial" w:cs="Arial"/>
          <w:lang w:val="en-GB"/>
        </w:rPr>
      </w:pPr>
    </w:p>
    <w:p w:rsidR="001C0D62" w:rsidRDefault="001C0D62">
      <w:pPr>
        <w:rPr>
          <w:rFonts w:ascii="Arial" w:hAnsi="Arial" w:cs="Arial"/>
          <w:b/>
          <w:bCs/>
          <w:sz w:val="32"/>
          <w:u w:val="single"/>
        </w:rPr>
      </w:pPr>
    </w:p>
    <w:p w:rsidR="001C0D62" w:rsidRDefault="001C0D62">
      <w:pPr>
        <w:rPr>
          <w:rFonts w:ascii="Arial" w:hAnsi="Arial" w:cs="Arial"/>
          <w:b/>
          <w:bCs/>
          <w:sz w:val="32"/>
          <w:u w:val="single"/>
        </w:rPr>
      </w:pPr>
    </w:p>
    <w:p w:rsidR="001C0D62" w:rsidRDefault="001C0D62">
      <w:pPr>
        <w:rPr>
          <w:rFonts w:ascii="Arial" w:hAnsi="Arial" w:cs="Arial"/>
          <w:b/>
          <w:bCs/>
          <w:sz w:val="32"/>
          <w:u w:val="single"/>
        </w:rPr>
      </w:pPr>
    </w:p>
    <w:p w:rsidR="001C0D62" w:rsidRDefault="001C0D62">
      <w:pPr>
        <w:rPr>
          <w:rFonts w:ascii="Arial" w:hAnsi="Arial" w:cs="Arial"/>
          <w:b/>
          <w:bCs/>
          <w:sz w:val="32"/>
          <w:u w:val="single"/>
        </w:rPr>
      </w:pPr>
    </w:p>
    <w:p w:rsidR="001C0D62" w:rsidRDefault="001C0D62">
      <w:pPr>
        <w:rPr>
          <w:rFonts w:ascii="Arial" w:hAnsi="Arial" w:cs="Arial"/>
          <w:b/>
          <w:bCs/>
          <w:sz w:val="32"/>
          <w:u w:val="single"/>
        </w:rPr>
      </w:pPr>
    </w:p>
    <w:p w:rsidR="001C0D62" w:rsidRDefault="001C0D62">
      <w:pPr>
        <w:jc w:val="center"/>
        <w:rPr>
          <w:rFonts w:ascii="Arial" w:hAnsi="Arial" w:cs="Arial"/>
          <w:b/>
          <w:bCs/>
          <w:sz w:val="32"/>
          <w:u w:val="single"/>
        </w:rPr>
      </w:pPr>
    </w:p>
    <w:p w:rsidR="001C0D62" w:rsidRDefault="001C0D62">
      <w:pPr>
        <w:jc w:val="center"/>
        <w:rPr>
          <w:rFonts w:ascii="Arial" w:hAnsi="Arial" w:cs="Arial"/>
          <w:b/>
          <w:bCs/>
          <w:sz w:val="32"/>
          <w:u w:val="single"/>
        </w:rPr>
      </w:pPr>
      <w:r>
        <w:rPr>
          <w:rFonts w:ascii="Arial" w:hAnsi="Arial" w:cs="Arial"/>
          <w:b/>
          <w:bCs/>
          <w:sz w:val="32"/>
          <w:u w:val="single"/>
        </w:rPr>
        <w:t>Chapter 4.0: Results</w:t>
      </w:r>
    </w:p>
    <w:p w:rsidR="001C0D62" w:rsidRDefault="001C0D62">
      <w:pPr>
        <w:pStyle w:val="Footer"/>
        <w:tabs>
          <w:tab w:val="clear" w:pos="4320"/>
          <w:tab w:val="clear" w:pos="8640"/>
        </w:tabs>
        <w:rPr>
          <w:rFonts w:ascii="Arial" w:hAnsi="Arial" w:cs="Arial"/>
          <w:bCs/>
        </w:rPr>
      </w:pPr>
    </w:p>
    <w:p w:rsidR="001C0D62" w:rsidRDefault="001C0D62">
      <w:pPr>
        <w:rPr>
          <w:rFonts w:ascii="Arial" w:hAnsi="Arial" w:cs="Arial"/>
          <w:bCs/>
        </w:rPr>
      </w:pPr>
    </w:p>
    <w:p w:rsidR="001C0D62" w:rsidRDefault="001C0D62">
      <w:pPr>
        <w:pStyle w:val="BodyText2"/>
        <w:spacing w:line="360" w:lineRule="auto"/>
      </w:pPr>
      <w:r>
        <w:t xml:space="preserve">This chapter will examine the results obtained from the tree core samples along with the meteorological data of temperature and precipitation for the relevant years for the area of </w:t>
      </w:r>
      <w:smartTag w:uri="urn:schemas-microsoft-com:office:smarttags" w:element="place">
        <w:r>
          <w:t>Accrington</w:t>
        </w:r>
      </w:smartTag>
      <w:r>
        <w:t>. The results will be shown as graphs along with detailed descriptions and statistical analysis to determine what the data shows. The raw data values from the collection of samples for tree ring widths are shown in Appendix D (Table 1).</w:t>
      </w:r>
    </w:p>
    <w:p w:rsidR="001C0D62" w:rsidRDefault="001C0D62">
      <w:pPr>
        <w:jc w:val="both"/>
        <w:rPr>
          <w:rFonts w:ascii="Arial" w:hAnsi="Arial" w:cs="Arial"/>
        </w:rPr>
      </w:pPr>
    </w:p>
    <w:p w:rsidR="001C0D62" w:rsidRDefault="001C0D62">
      <w:pPr>
        <w:rPr>
          <w:rFonts w:ascii="Arial" w:hAnsi="Arial" w:cs="Arial"/>
          <w:b/>
          <w:bCs/>
          <w:sz w:val="32"/>
          <w:u w:val="single"/>
        </w:rPr>
      </w:pPr>
    </w:p>
    <w:p w:rsidR="001C0D62" w:rsidRDefault="001C0D62">
      <w:pPr>
        <w:pStyle w:val="Heading1"/>
        <w:spacing w:line="360" w:lineRule="auto"/>
        <w:jc w:val="left"/>
        <w:rPr>
          <w:sz w:val="26"/>
        </w:rPr>
      </w:pPr>
      <w:r>
        <w:rPr>
          <w:sz w:val="26"/>
        </w:rPr>
        <w:t>4.1: Field and laboratory data</w:t>
      </w:r>
    </w:p>
    <w:p w:rsidR="001C0D62" w:rsidRDefault="001C0D62">
      <w:pPr>
        <w:spacing w:line="360" w:lineRule="auto"/>
      </w:pPr>
    </w:p>
    <w:p w:rsidR="001C0D62" w:rsidRDefault="001C0D62">
      <w:pPr>
        <w:pStyle w:val="BodyText"/>
        <w:spacing w:line="360" w:lineRule="auto"/>
        <w:jc w:val="both"/>
        <w:rPr>
          <w:b w:val="0"/>
          <w:sz w:val="24"/>
          <w:u w:val="none"/>
        </w:rPr>
      </w:pPr>
      <w:r>
        <w:rPr>
          <w:b w:val="0"/>
          <w:sz w:val="24"/>
          <w:u w:val="none"/>
        </w:rPr>
        <w:t xml:space="preserve">Figure 4.0 represents the average recorded ring widths of 50 Sycamore cores sampled from Priestley Clough, </w:t>
      </w:r>
      <w:smartTag w:uri="urn:schemas-microsoft-com:office:smarttags" w:element="place">
        <w:r>
          <w:rPr>
            <w:b w:val="0"/>
            <w:sz w:val="24"/>
            <w:u w:val="none"/>
          </w:rPr>
          <w:t>Accrington</w:t>
        </w:r>
      </w:smartTag>
      <w:r>
        <w:rPr>
          <w:b w:val="0"/>
          <w:sz w:val="24"/>
          <w:u w:val="none"/>
        </w:rPr>
        <w:t>. The largest average ring width was for the year 2010 (1.87mm), the lowest average ring width was 1.53mm (1993). Generally there is a steady pattern of increases and decreases, though some years show more dramatic changes (e.g. the decline from 1.77mm in 1979 to 1.58mm in 1981). From 1993 there is generally an increase in ring width towards the present date, again with increases and decreases. There does not appear to be a clear trend between ring width and time as the results vary tremendously.</w:t>
      </w:r>
    </w:p>
    <w:p w:rsidR="001C0D62" w:rsidRDefault="001C0D62">
      <w:pPr>
        <w:spacing w:line="360" w:lineRule="auto"/>
      </w:pPr>
    </w:p>
    <w:p w:rsidR="001C0D62" w:rsidRDefault="001C0D62">
      <w:pPr>
        <w:spacing w:line="360" w:lineRule="auto"/>
        <w:jc w:val="center"/>
        <w:rPr>
          <w:rFonts w:ascii="Arial" w:hAnsi="Arial" w:cs="Arial"/>
          <w:b/>
          <w:bCs/>
          <w:u w:val="single"/>
        </w:rPr>
      </w:pPr>
      <w:r>
        <w:rPr>
          <w:rFonts w:ascii="Arial" w:hAnsi="Arial" w:cs="Arial"/>
          <w:b/>
          <w:bCs/>
          <w:u w:val="single"/>
        </w:rPr>
        <w:t>Figure 4.0: Average Sycamore ring widths for Priestley Clough (1972-2012)</w:t>
      </w:r>
    </w:p>
    <w:p w:rsidR="001C0D62" w:rsidRDefault="001F31B4">
      <w:pPr>
        <w:jc w:val="center"/>
      </w:pPr>
      <w:r>
        <w:rPr>
          <w:noProof/>
          <w:lang w:val="en-GB" w:eastAsia="en-GB"/>
        </w:rPr>
        <w:drawing>
          <wp:inline distT="0" distB="0" distL="0" distR="0">
            <wp:extent cx="5092700" cy="2387600"/>
            <wp:effectExtent l="0" t="0" r="0" b="0"/>
            <wp:docPr id="9" name="Object 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1C0D62" w:rsidRDefault="001C0D62">
      <w:pPr>
        <w:pStyle w:val="BodyText"/>
        <w:spacing w:line="360" w:lineRule="auto"/>
        <w:jc w:val="both"/>
        <w:rPr>
          <w:b w:val="0"/>
          <w:sz w:val="24"/>
          <w:u w:val="none"/>
        </w:rPr>
      </w:pPr>
      <w:r>
        <w:rPr>
          <w:b w:val="0"/>
          <w:sz w:val="24"/>
          <w:u w:val="none"/>
        </w:rPr>
        <w:t>Figure 4.1 represents the average recorded ring widths of 50 Beech cores sampled from Priestley Clough. The largest ring width average recorded was for 1973 (2.39mm), with the lowest average being 1.94mm (2012). This graph illustrates a number of increases and decreases with the data appearing to have a reasonable range. Noticeably there is a sharp increase in ring width from 1972-1973 with a fall of 0.21mm for 1974. The next 30 years show fluctuations, however, since 2004 the average ring widths decrease substantially to 1.94mm for 2012.</w:t>
      </w:r>
    </w:p>
    <w:p w:rsidR="001C0D62" w:rsidRDefault="001C0D62">
      <w:pPr>
        <w:spacing w:line="360" w:lineRule="auto"/>
      </w:pPr>
    </w:p>
    <w:p w:rsidR="001C0D62" w:rsidRDefault="001C0D62">
      <w:pPr>
        <w:spacing w:line="360" w:lineRule="auto"/>
        <w:jc w:val="center"/>
      </w:pPr>
      <w:r>
        <w:rPr>
          <w:rFonts w:ascii="Arial" w:hAnsi="Arial" w:cs="Arial"/>
          <w:b/>
          <w:bCs/>
          <w:u w:val="single"/>
        </w:rPr>
        <w:t>Figure 4.1: Average Beech ring widths for Priestley Clough (1972-2012)</w:t>
      </w:r>
    </w:p>
    <w:p w:rsidR="001C0D62" w:rsidRDefault="001F31B4">
      <w:pPr>
        <w:jc w:val="center"/>
      </w:pPr>
      <w:r>
        <w:rPr>
          <w:noProof/>
          <w:lang w:val="en-GB" w:eastAsia="en-GB"/>
        </w:rPr>
        <w:drawing>
          <wp:inline distT="0" distB="0" distL="0" distR="0">
            <wp:extent cx="5486400" cy="2489200"/>
            <wp:effectExtent l="0" t="0" r="0" b="0"/>
            <wp:docPr id="10" name="Object 1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1C0D62" w:rsidRDefault="001C0D62"/>
    <w:p w:rsidR="001C0D62" w:rsidRDefault="001C0D62">
      <w:pPr>
        <w:pStyle w:val="Footer"/>
        <w:tabs>
          <w:tab w:val="clear" w:pos="4320"/>
          <w:tab w:val="clear" w:pos="8640"/>
        </w:tabs>
      </w:pPr>
    </w:p>
    <w:p w:rsidR="001C0D62" w:rsidRDefault="001C0D62">
      <w:pPr>
        <w:pStyle w:val="BodyText"/>
        <w:jc w:val="both"/>
        <w:rPr>
          <w:b w:val="0"/>
          <w:sz w:val="24"/>
          <w:u w:val="none"/>
        </w:rPr>
      </w:pPr>
    </w:p>
    <w:p w:rsidR="001C0D62" w:rsidRDefault="001C0D62">
      <w:pPr>
        <w:pStyle w:val="BodyText"/>
        <w:spacing w:line="360" w:lineRule="auto"/>
        <w:jc w:val="both"/>
        <w:rPr>
          <w:b w:val="0"/>
          <w:sz w:val="24"/>
          <w:u w:val="none"/>
        </w:rPr>
      </w:pPr>
      <w:r>
        <w:rPr>
          <w:b w:val="0"/>
          <w:sz w:val="24"/>
          <w:u w:val="none"/>
        </w:rPr>
        <w:t xml:space="preserve">Figure 4.2 represents the average recorded ring widths of 50 Oak cores sampled from Priestley Clough. The largest recorded average ring width (1.85mm) occurred during the same year as Beech (1973), with the lowest average ring width (1.47mm) occurring in 2005. This graph generally shows a positive correlation between ring width and age, as the widest rings appear to be for the earliest years of growth. There appear to be fewer varied results from year to year, although there are exceptions (a large peak of 1.83mm in 1983, representing good growth) but it does indicate a general decrease in ring widths with time. </w:t>
      </w:r>
    </w:p>
    <w:p w:rsidR="001C0D62" w:rsidRDefault="001C0D62">
      <w:pPr>
        <w:spacing w:line="360" w:lineRule="auto"/>
      </w:pPr>
    </w:p>
    <w:p w:rsidR="001C0D62" w:rsidRDefault="001C0D62">
      <w:pPr>
        <w:pStyle w:val="BodyText2"/>
        <w:spacing w:line="360" w:lineRule="auto"/>
        <w:jc w:val="center"/>
        <w:rPr>
          <w:b/>
          <w:u w:val="single"/>
        </w:rPr>
      </w:pPr>
      <w:r>
        <w:rPr>
          <w:b/>
          <w:u w:val="single"/>
        </w:rPr>
        <w:t>Figure 4.2: Average Oak ring widths for Priestley Clough (1972-2012)</w:t>
      </w:r>
    </w:p>
    <w:p w:rsidR="001C0D62" w:rsidRDefault="001F31B4">
      <w:r>
        <w:rPr>
          <w:noProof/>
          <w:lang w:val="en-GB" w:eastAsia="en-GB"/>
        </w:rPr>
        <w:drawing>
          <wp:inline distT="0" distB="0" distL="0" distR="0">
            <wp:extent cx="5486400" cy="2755900"/>
            <wp:effectExtent l="0" t="0" r="0" b="0"/>
            <wp:docPr id="11" name="Object 1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1C0D62" w:rsidRDefault="001C0D62"/>
    <w:p w:rsidR="001C0D62" w:rsidRDefault="001C0D62">
      <w:pPr>
        <w:rPr>
          <w:rFonts w:ascii="Arial" w:hAnsi="Arial" w:cs="Arial"/>
          <w:b/>
          <w:bCs/>
          <w:sz w:val="32"/>
          <w:u w:val="single"/>
        </w:rPr>
      </w:pPr>
    </w:p>
    <w:p w:rsidR="001C0D62" w:rsidRDefault="001C0D62">
      <w:pPr>
        <w:pStyle w:val="BodyText2"/>
        <w:spacing w:line="360" w:lineRule="auto"/>
      </w:pPr>
      <w:r>
        <w:t>Figure 4.3 represents the average recorded ring widths of 50 tree cores for each species of tree sampled from Priestley Clough, in order to establish if there are any similarities or differences between ring widths for the species involved in the study. The largest ring widths were all from Beech. Oak and Sycamore are much more closely related in ring size but appear to have different trends. Sycamore generally increases in ring width, whilst Oak generally decreases (with time). Beech appears to have a much reduced variance of data compared with Oak and Sycamore. However, whilst all three species do not follow the exact same pattern, especially when compared with each other, there are some similarities. For example a number of the increases and decreases do coincide with each other such as the year 1973 (particularly with Beech and Sycamore). All species see a dip in 1974, although Oak to a lesser extent. All species show an increase in 1978 followed by a drop the following year, with a fall for all species in 1981. During 2000, a period of reduced growth is noticeable, followed by a sharp increase in 2001. 2003 is a significantly marked year for reduced growth for all species. From 2004 to 2005, however, Beech sees a significant drop of 0.15mm, as well as Oak ring width reducing by 0.10mm. For the final two years Beech and Sycamore decrease quite significantly (up to 0.16mm) along with Oak for 2012.</w:t>
      </w:r>
    </w:p>
    <w:p w:rsidR="001C0D62" w:rsidRDefault="001C0D62">
      <w:pPr>
        <w:pStyle w:val="BodyText"/>
        <w:spacing w:line="360" w:lineRule="auto"/>
        <w:rPr>
          <w:sz w:val="24"/>
        </w:rPr>
      </w:pPr>
      <w:r>
        <w:rPr>
          <w:sz w:val="24"/>
        </w:rPr>
        <w:t>Figure 4.3: Average Sycamore, Beech and Oak ring widths for Priestley Clough (1972-2012)</w:t>
      </w:r>
    </w:p>
    <w:p w:rsidR="001C0D62" w:rsidRDefault="001F31B4">
      <w:r>
        <w:rPr>
          <w:noProof/>
          <w:lang w:val="en-GB" w:eastAsia="en-GB"/>
        </w:rPr>
        <w:drawing>
          <wp:inline distT="0" distB="0" distL="0" distR="0">
            <wp:extent cx="5486400" cy="2413000"/>
            <wp:effectExtent l="0" t="0" r="0" b="0"/>
            <wp:docPr id="12" name="Object 1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1C0D62" w:rsidRDefault="001C0D62"/>
    <w:p w:rsidR="001C0D62" w:rsidRDefault="001C0D62"/>
    <w:p w:rsidR="001C0D62" w:rsidRDefault="001C0D62"/>
    <w:p w:rsidR="001C0D62" w:rsidRDefault="001C0D62">
      <w:pPr>
        <w:pStyle w:val="Footer"/>
        <w:tabs>
          <w:tab w:val="clear" w:pos="4320"/>
          <w:tab w:val="clear" w:pos="8640"/>
        </w:tabs>
      </w:pPr>
    </w:p>
    <w:p w:rsidR="001C0D62" w:rsidRDefault="001C0D62">
      <w:pPr>
        <w:spacing w:line="360" w:lineRule="auto"/>
        <w:jc w:val="both"/>
        <w:rPr>
          <w:rFonts w:ascii="Arial" w:hAnsi="Arial" w:cs="Arial"/>
        </w:rPr>
      </w:pPr>
      <w:r>
        <w:rPr>
          <w:rFonts w:ascii="Arial" w:hAnsi="Arial" w:cs="Arial"/>
        </w:rPr>
        <w:t xml:space="preserve">Figure 4.4 shows the annual precipitation levels (mm) recorded from the Great Harwood station (raw data – Table 2: Appendix E). The highest precipitation level was 1656.3mm (2012), with the lowest being almost half at just 926.86mm (1995). The precipitation data is extremely varied throughout the last 40 years. </w:t>
      </w:r>
    </w:p>
    <w:p w:rsidR="001C0D62" w:rsidRDefault="001C0D62">
      <w:pPr>
        <w:spacing w:line="360" w:lineRule="auto"/>
      </w:pPr>
    </w:p>
    <w:p w:rsidR="001C0D62" w:rsidRDefault="001C0D62">
      <w:pPr>
        <w:pStyle w:val="BodyText2"/>
        <w:spacing w:line="360" w:lineRule="auto"/>
        <w:jc w:val="center"/>
        <w:rPr>
          <w:b/>
          <w:u w:val="single"/>
        </w:rPr>
      </w:pPr>
      <w:r>
        <w:rPr>
          <w:b/>
          <w:u w:val="single"/>
        </w:rPr>
        <w:t>Figure 4.4: The annual precipitation levels (mm) between 1972 and 2012.</w:t>
      </w:r>
    </w:p>
    <w:p w:rsidR="001C0D62" w:rsidRDefault="001F31B4">
      <w:r>
        <w:rPr>
          <w:noProof/>
          <w:lang w:val="en-GB" w:eastAsia="en-GB"/>
        </w:rPr>
        <w:drawing>
          <wp:inline distT="0" distB="0" distL="0" distR="0">
            <wp:extent cx="5372100" cy="2794000"/>
            <wp:effectExtent l="0" t="0" r="0" b="0"/>
            <wp:docPr id="13" name="Object 1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1C0D62" w:rsidRDefault="001C0D62">
      <w:pPr>
        <w:pStyle w:val="BodyText2"/>
        <w:spacing w:line="360" w:lineRule="auto"/>
      </w:pPr>
      <w:r>
        <w:t>Figure 4.5 represents the annual average temperature data recorded at the Newton Rigg weather station, Penrith (raw data – Table 2: Appendix E). The highest recorded average annual temperature was 13.4ºC (2003), whilst the lowest temperature was 10.9ºC (1979). Although there are many fluctuations, figure 4.5 does tend to indicate an increase in temperature with time. From 1979 to 1982 the temperature increases by 1.5ºC. There is a sharp increase in temperature between 1985 and 1990, rising by almost 2ºC over this period. Following this period the temperature continues to rise and fall until reaching a noticeable fall in 2010 to 11.5ºC.</w:t>
      </w:r>
    </w:p>
    <w:p w:rsidR="001C0D62" w:rsidRDefault="001C0D62">
      <w:pPr>
        <w:spacing w:line="360" w:lineRule="auto"/>
        <w:jc w:val="both"/>
        <w:rPr>
          <w:rFonts w:ascii="Arial" w:hAnsi="Arial" w:cs="Arial"/>
        </w:rPr>
      </w:pPr>
    </w:p>
    <w:p w:rsidR="001C0D62" w:rsidRDefault="001C0D62">
      <w:pPr>
        <w:pStyle w:val="BodyText2"/>
        <w:spacing w:line="360" w:lineRule="auto"/>
        <w:jc w:val="center"/>
        <w:rPr>
          <w:b/>
          <w:u w:val="single"/>
        </w:rPr>
      </w:pPr>
      <w:r>
        <w:rPr>
          <w:b/>
          <w:u w:val="single"/>
        </w:rPr>
        <w:t>Figure 4.5: The annual average temperature (ºC) between 1972 and 2012.</w:t>
      </w:r>
    </w:p>
    <w:p w:rsidR="001C0D62" w:rsidRDefault="001F31B4">
      <w:pPr>
        <w:jc w:val="center"/>
      </w:pPr>
      <w:r>
        <w:rPr>
          <w:noProof/>
          <w:lang w:val="en-GB" w:eastAsia="en-GB"/>
        </w:rPr>
        <w:drawing>
          <wp:inline distT="0" distB="0" distL="0" distR="0">
            <wp:extent cx="5461000" cy="2527300"/>
            <wp:effectExtent l="0" t="0" r="0" b="0"/>
            <wp:docPr id="14" name="Object 1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1C0D62" w:rsidRDefault="001C0D62"/>
    <w:p w:rsidR="001C0D62" w:rsidRDefault="001C0D62">
      <w:pPr>
        <w:jc w:val="both"/>
        <w:rPr>
          <w:rFonts w:ascii="Arial" w:hAnsi="Arial" w:cs="Arial"/>
        </w:rPr>
      </w:pPr>
    </w:p>
    <w:p w:rsidR="001C0D62" w:rsidRDefault="001C0D62">
      <w:pPr>
        <w:pStyle w:val="BodyText2"/>
        <w:spacing w:line="360" w:lineRule="auto"/>
      </w:pPr>
      <w:r>
        <w:t>The relationship between precipitation and temperature is examined in Appendix F, which contains figures 4.6 and 4.7.</w:t>
      </w:r>
    </w:p>
    <w:p w:rsidR="001C0D62" w:rsidRDefault="001C0D62">
      <w:pPr>
        <w:jc w:val="both"/>
        <w:rPr>
          <w:rFonts w:ascii="Arial" w:hAnsi="Arial" w:cs="Arial"/>
        </w:rPr>
      </w:pPr>
    </w:p>
    <w:p w:rsidR="001C0D62" w:rsidRDefault="001C0D62">
      <w:pPr>
        <w:pStyle w:val="BodyText"/>
        <w:rPr>
          <w:b w:val="0"/>
          <w:bCs w:val="0"/>
          <w:sz w:val="26"/>
        </w:rPr>
      </w:pPr>
    </w:p>
    <w:p w:rsidR="001C0D62" w:rsidRDefault="001C0D62">
      <w:pPr>
        <w:pStyle w:val="BodyText"/>
        <w:jc w:val="left"/>
        <w:rPr>
          <w:bCs w:val="0"/>
          <w:sz w:val="26"/>
        </w:rPr>
      </w:pPr>
    </w:p>
    <w:p w:rsidR="001C0D62" w:rsidRDefault="001C0D62">
      <w:pPr>
        <w:pStyle w:val="BodyText"/>
        <w:jc w:val="left"/>
        <w:rPr>
          <w:bCs w:val="0"/>
          <w:sz w:val="26"/>
        </w:rPr>
      </w:pPr>
    </w:p>
    <w:p w:rsidR="001C0D62" w:rsidRDefault="001C0D62">
      <w:pPr>
        <w:pStyle w:val="BodyText"/>
        <w:jc w:val="left"/>
        <w:rPr>
          <w:bCs w:val="0"/>
          <w:sz w:val="26"/>
        </w:rPr>
      </w:pPr>
    </w:p>
    <w:p w:rsidR="001C0D62" w:rsidRDefault="001C0D62">
      <w:pPr>
        <w:pStyle w:val="BodyText"/>
        <w:jc w:val="left"/>
        <w:rPr>
          <w:bCs w:val="0"/>
          <w:sz w:val="26"/>
        </w:rPr>
      </w:pPr>
    </w:p>
    <w:p w:rsidR="001C0D62" w:rsidRDefault="001C0D62">
      <w:pPr>
        <w:pStyle w:val="BodyText"/>
        <w:jc w:val="left"/>
        <w:rPr>
          <w:bCs w:val="0"/>
          <w:sz w:val="26"/>
        </w:rPr>
      </w:pPr>
    </w:p>
    <w:p w:rsidR="001C0D62" w:rsidRDefault="001C0D62">
      <w:pPr>
        <w:pStyle w:val="BodyText"/>
        <w:jc w:val="left"/>
        <w:rPr>
          <w:bCs w:val="0"/>
          <w:sz w:val="26"/>
        </w:rPr>
      </w:pPr>
    </w:p>
    <w:p w:rsidR="001C0D62" w:rsidRDefault="001C0D62">
      <w:pPr>
        <w:pStyle w:val="BodyText"/>
        <w:jc w:val="left"/>
        <w:rPr>
          <w:bCs w:val="0"/>
          <w:sz w:val="26"/>
        </w:rPr>
      </w:pPr>
    </w:p>
    <w:p w:rsidR="001C0D62" w:rsidRDefault="001C0D62">
      <w:pPr>
        <w:pStyle w:val="BodyText"/>
        <w:jc w:val="left"/>
        <w:rPr>
          <w:bCs w:val="0"/>
          <w:sz w:val="26"/>
        </w:rPr>
      </w:pPr>
    </w:p>
    <w:p w:rsidR="001C0D62" w:rsidRDefault="001C0D62">
      <w:pPr>
        <w:pStyle w:val="BodyText"/>
        <w:spacing w:line="360" w:lineRule="auto"/>
        <w:jc w:val="left"/>
        <w:rPr>
          <w:bCs w:val="0"/>
          <w:sz w:val="26"/>
        </w:rPr>
      </w:pPr>
      <w:r>
        <w:rPr>
          <w:bCs w:val="0"/>
          <w:sz w:val="26"/>
        </w:rPr>
        <w:t>4.2: The influence of precipitation on radial growth</w:t>
      </w:r>
    </w:p>
    <w:p w:rsidR="001C0D62" w:rsidRDefault="001C0D62">
      <w:pPr>
        <w:pStyle w:val="BodyText"/>
        <w:spacing w:line="360" w:lineRule="auto"/>
        <w:jc w:val="left"/>
        <w:rPr>
          <w:b w:val="0"/>
          <w:bCs w:val="0"/>
          <w:sz w:val="24"/>
          <w:u w:val="none"/>
        </w:rPr>
      </w:pPr>
    </w:p>
    <w:p w:rsidR="001C0D62" w:rsidRDefault="001C0D62">
      <w:pPr>
        <w:pStyle w:val="BodyText"/>
        <w:spacing w:line="360" w:lineRule="auto"/>
        <w:jc w:val="both"/>
        <w:rPr>
          <w:b w:val="0"/>
          <w:sz w:val="24"/>
          <w:u w:val="none"/>
        </w:rPr>
      </w:pPr>
      <w:r>
        <w:rPr>
          <w:b w:val="0"/>
          <w:sz w:val="24"/>
          <w:u w:val="none"/>
        </w:rPr>
        <w:t>Figure 4.8 shows the average Sycamore ring widths (mm) against the annual precipitation records for the 40-year timescale for this study. The graph shows that there could be a link between the ring widths of Sycamore and precipitation levels. Interestingly, the four largest precipitation levels (1981, 2000, 2007 &amp; 2012) coincide with a fall in the ring widths. Equally some of the largest ring widths coincided with years of low precipitation (such as 2010), which had the largest ring width (1.87mm) and one of the lowest precipitation levels (985.66mm).</w:t>
      </w:r>
    </w:p>
    <w:p w:rsidR="001C0D62" w:rsidRDefault="001C0D62">
      <w:pPr>
        <w:pStyle w:val="BodyText"/>
        <w:spacing w:line="360" w:lineRule="auto"/>
        <w:jc w:val="left"/>
        <w:rPr>
          <w:sz w:val="24"/>
        </w:rPr>
      </w:pPr>
    </w:p>
    <w:p w:rsidR="001C0D62" w:rsidRDefault="001C0D62">
      <w:pPr>
        <w:spacing w:line="360" w:lineRule="auto"/>
        <w:jc w:val="center"/>
        <w:rPr>
          <w:rFonts w:ascii="Arial" w:hAnsi="Arial" w:cs="Arial"/>
          <w:b/>
          <w:u w:val="single"/>
        </w:rPr>
      </w:pPr>
      <w:r>
        <w:rPr>
          <w:rFonts w:ascii="Arial" w:hAnsi="Arial" w:cs="Arial"/>
          <w:b/>
          <w:u w:val="single"/>
        </w:rPr>
        <w:t>Figure 4.8: The annual precipitation (mm) Vs the average Sycamore ring widths (mm) between 1972 and 2012</w:t>
      </w:r>
    </w:p>
    <w:p w:rsidR="001C0D62" w:rsidRDefault="001F31B4">
      <w:pPr>
        <w:jc w:val="center"/>
      </w:pPr>
      <w:r>
        <w:rPr>
          <w:noProof/>
          <w:lang w:val="en-GB" w:eastAsia="en-GB"/>
        </w:rPr>
        <w:drawing>
          <wp:inline distT="0" distB="0" distL="0" distR="0">
            <wp:extent cx="5435600" cy="3492500"/>
            <wp:effectExtent l="0" t="0" r="0" b="0"/>
            <wp:docPr id="15" name="Object 1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1C0D62" w:rsidRDefault="001C0D62"/>
    <w:p w:rsidR="001C0D62" w:rsidRDefault="001C0D62">
      <w:pPr>
        <w:pStyle w:val="BodyText"/>
        <w:spacing w:line="360" w:lineRule="auto"/>
        <w:jc w:val="both"/>
        <w:rPr>
          <w:b w:val="0"/>
          <w:sz w:val="24"/>
          <w:u w:val="none"/>
        </w:rPr>
      </w:pPr>
    </w:p>
    <w:p w:rsidR="001C0D62" w:rsidRDefault="001C0D62">
      <w:pPr>
        <w:pStyle w:val="BodyText"/>
        <w:spacing w:line="360" w:lineRule="auto"/>
        <w:jc w:val="both"/>
        <w:rPr>
          <w:b w:val="0"/>
          <w:sz w:val="24"/>
          <w:u w:val="none"/>
        </w:rPr>
      </w:pPr>
      <w:r>
        <w:rPr>
          <w:b w:val="0"/>
          <w:sz w:val="24"/>
          <w:u w:val="none"/>
        </w:rPr>
        <w:t>Normal distribution tests will be used for each set of data, the normality test graphs are located in Appendix H. Normal distribution tests were undertaken, with precipitation providing a P-value of 0.477, meaning that the data is normally distributed. The P-value of Sycamore is 0.370, meaning that this data is also normally distributed.</w:t>
      </w:r>
    </w:p>
    <w:p w:rsidR="001C0D62" w:rsidRDefault="001C0D62">
      <w:pPr>
        <w:pStyle w:val="BodyText"/>
        <w:spacing w:line="360" w:lineRule="auto"/>
        <w:jc w:val="both"/>
        <w:rPr>
          <w:b w:val="0"/>
          <w:sz w:val="24"/>
          <w:u w:val="none"/>
        </w:rPr>
      </w:pPr>
    </w:p>
    <w:p w:rsidR="001C0D62" w:rsidRDefault="001C0D62">
      <w:pPr>
        <w:pStyle w:val="BodyText"/>
        <w:spacing w:line="360" w:lineRule="auto"/>
        <w:jc w:val="both"/>
        <w:rPr>
          <w:b w:val="0"/>
          <w:sz w:val="24"/>
          <w:u w:val="none"/>
        </w:rPr>
      </w:pPr>
      <w:r>
        <w:rPr>
          <w:b w:val="0"/>
          <w:sz w:val="24"/>
          <w:u w:val="none"/>
        </w:rPr>
        <w:t xml:space="preserve">Pearson’s rank correlation test: correlation (r) value of -0.068 (between the annual precipitation levels and Sycamore radial growth) – No linear relationship. </w:t>
      </w:r>
    </w:p>
    <w:p w:rsidR="001C0D62" w:rsidRDefault="001C0D62">
      <w:pPr>
        <w:pStyle w:val="BodyText"/>
        <w:spacing w:line="360" w:lineRule="auto"/>
        <w:jc w:val="both"/>
        <w:rPr>
          <w:b w:val="0"/>
          <w:sz w:val="24"/>
          <w:u w:val="none"/>
        </w:rPr>
      </w:pPr>
    </w:p>
    <w:p w:rsidR="001C0D62" w:rsidRDefault="001C0D62">
      <w:pPr>
        <w:pStyle w:val="BodyText"/>
        <w:spacing w:line="360" w:lineRule="auto"/>
        <w:jc w:val="both"/>
        <w:rPr>
          <w:sz w:val="24"/>
        </w:rPr>
      </w:pPr>
      <w:r>
        <w:rPr>
          <w:b w:val="0"/>
          <w:sz w:val="24"/>
          <w:u w:val="none"/>
        </w:rPr>
        <w:t>P-value: 0.675 (no significant relationship between the two variables).</w:t>
      </w:r>
    </w:p>
    <w:p w:rsidR="001C0D62" w:rsidRDefault="001C0D62">
      <w:pPr>
        <w:pStyle w:val="BodyText"/>
        <w:spacing w:line="360" w:lineRule="auto"/>
        <w:jc w:val="left"/>
        <w:rPr>
          <w:sz w:val="24"/>
        </w:rPr>
      </w:pPr>
    </w:p>
    <w:p w:rsidR="001C0D62" w:rsidRDefault="001C0D62">
      <w:pPr>
        <w:spacing w:line="360" w:lineRule="auto"/>
        <w:jc w:val="both"/>
        <w:rPr>
          <w:rFonts w:ascii="Arial" w:hAnsi="Arial" w:cs="Arial"/>
          <w:lang w:val="en-GB" w:eastAsia="en-GB"/>
        </w:rPr>
      </w:pPr>
      <w:r>
        <w:rPr>
          <w:rFonts w:ascii="Arial" w:hAnsi="Arial" w:cs="Arial"/>
          <w:lang w:val="en-GB" w:eastAsia="en-GB"/>
        </w:rPr>
        <w:t>Null hypothesis: There is no relationship between the annual precipitation levels and the average Sycamore ring widths.</w:t>
      </w:r>
    </w:p>
    <w:p w:rsidR="001C0D62" w:rsidRDefault="001C0D62">
      <w:pPr>
        <w:pStyle w:val="BodyText"/>
        <w:spacing w:line="360" w:lineRule="auto"/>
        <w:jc w:val="left"/>
        <w:rPr>
          <w:b w:val="0"/>
          <w:sz w:val="24"/>
          <w:u w:val="none"/>
        </w:rPr>
      </w:pPr>
      <w:r>
        <w:rPr>
          <w:b w:val="0"/>
          <w:sz w:val="24"/>
          <w:u w:val="none"/>
          <w:lang w:val="en-GB" w:eastAsia="en-GB"/>
        </w:rPr>
        <w:t>Alternative hypothesis: There is a relationship between the annual precipitation levels and the average Sycamore ring widths</w:t>
      </w:r>
      <w:r>
        <w:rPr>
          <w:b w:val="0"/>
          <w:sz w:val="24"/>
          <w:u w:val="none"/>
        </w:rPr>
        <w:t>.</w:t>
      </w:r>
    </w:p>
    <w:p w:rsidR="001C0D62" w:rsidRDefault="001C0D62">
      <w:pPr>
        <w:pStyle w:val="BodyText"/>
        <w:spacing w:line="360" w:lineRule="auto"/>
        <w:jc w:val="left"/>
        <w:rPr>
          <w:b w:val="0"/>
          <w:sz w:val="24"/>
          <w:u w:val="none"/>
        </w:rPr>
      </w:pPr>
    </w:p>
    <w:p w:rsidR="001C0D62" w:rsidRDefault="001C0D62">
      <w:pPr>
        <w:pStyle w:val="BodyText"/>
        <w:spacing w:line="360" w:lineRule="auto"/>
        <w:jc w:val="left"/>
        <w:rPr>
          <w:b w:val="0"/>
          <w:sz w:val="24"/>
          <w:u w:val="none"/>
        </w:rPr>
      </w:pPr>
      <w:r>
        <w:rPr>
          <w:b w:val="0"/>
          <w:i/>
          <w:iCs/>
          <w:sz w:val="24"/>
          <w:u w:val="none"/>
        </w:rPr>
        <w:t>The correlation coefficient:</w:t>
      </w:r>
    </w:p>
    <w:p w:rsidR="001C0D62" w:rsidRDefault="001C0D62">
      <w:pPr>
        <w:pStyle w:val="BodyText"/>
        <w:spacing w:line="360" w:lineRule="auto"/>
        <w:jc w:val="left"/>
        <w:rPr>
          <w:b w:val="0"/>
          <w:i/>
          <w:iCs/>
          <w:sz w:val="24"/>
          <w:u w:val="none"/>
        </w:rPr>
      </w:pPr>
      <w:r>
        <w:rPr>
          <w:b w:val="0"/>
          <w:i/>
          <w:iCs/>
          <w:sz w:val="24"/>
          <w:u w:val="none"/>
        </w:rPr>
        <w:t>r² = 0.004624 – 0%</w:t>
      </w:r>
    </w:p>
    <w:p w:rsidR="001C0D62" w:rsidRDefault="001C0D62">
      <w:pPr>
        <w:pStyle w:val="BodyText"/>
        <w:spacing w:line="360" w:lineRule="auto"/>
        <w:jc w:val="left"/>
        <w:rPr>
          <w:b w:val="0"/>
          <w:sz w:val="24"/>
          <w:u w:val="none"/>
        </w:rPr>
      </w:pPr>
      <w:r>
        <w:rPr>
          <w:b w:val="0"/>
          <w:i/>
          <w:iCs/>
          <w:sz w:val="24"/>
          <w:u w:val="none"/>
        </w:rPr>
        <w:t>0% of the variation in Sycamore radial growth can be explained by variation in precipitation levels.</w:t>
      </w:r>
    </w:p>
    <w:p w:rsidR="001C0D62" w:rsidRDefault="001C0D62">
      <w:pPr>
        <w:pStyle w:val="BodyText"/>
        <w:spacing w:line="360" w:lineRule="auto"/>
      </w:pPr>
    </w:p>
    <w:p w:rsidR="001C0D62" w:rsidRDefault="001C0D62">
      <w:pPr>
        <w:spacing w:line="360" w:lineRule="auto"/>
        <w:jc w:val="both"/>
        <w:rPr>
          <w:rFonts w:ascii="Arial" w:hAnsi="Arial" w:cs="Arial"/>
        </w:rPr>
      </w:pPr>
      <w:r>
        <w:rPr>
          <w:rFonts w:ascii="Arial" w:hAnsi="Arial" w:cs="Arial"/>
        </w:rPr>
        <w:t>The critical value will be shown for each species and it indicates the significance of the correlation coefficient. A table of critical values for both one-sided and two-sided statistical tests can be found in Appendix I (table 6). In order to determine the significance, a two-sided test with 50 recorded observations will be used in order to assess if any relationships exist between variables, thus depending upon the alternative hypothesis.</w:t>
      </w:r>
    </w:p>
    <w:p w:rsidR="001C0D62" w:rsidRDefault="001C0D62">
      <w:pPr>
        <w:pStyle w:val="BodyText"/>
        <w:spacing w:line="360" w:lineRule="auto"/>
      </w:pPr>
    </w:p>
    <w:p w:rsidR="001C0D62" w:rsidRDefault="001C0D62">
      <w:pPr>
        <w:pStyle w:val="BodyText"/>
        <w:spacing w:line="360" w:lineRule="auto"/>
        <w:jc w:val="both"/>
        <w:rPr>
          <w:b w:val="0"/>
          <w:sz w:val="24"/>
          <w:u w:val="none"/>
        </w:rPr>
      </w:pPr>
      <w:r>
        <w:rPr>
          <w:b w:val="0"/>
          <w:sz w:val="24"/>
          <w:u w:val="none"/>
        </w:rPr>
        <w:t>Critical value: (correlation coefficient: 0.004624) shows no level of significance that would be considered not due to chance (greater than the rejection level of 5%) - Null hypothesis was accepted as no relationship was found.</w:t>
      </w:r>
    </w:p>
    <w:p w:rsidR="001C0D62" w:rsidRDefault="001C0D62">
      <w:pPr>
        <w:pStyle w:val="BodyText"/>
        <w:spacing w:line="360" w:lineRule="auto"/>
        <w:jc w:val="both"/>
        <w:rPr>
          <w:b w:val="0"/>
          <w:sz w:val="24"/>
          <w:u w:val="none"/>
        </w:rPr>
      </w:pPr>
    </w:p>
    <w:p w:rsidR="001C0D62" w:rsidRDefault="001C0D62">
      <w:pPr>
        <w:pStyle w:val="BodyText"/>
        <w:spacing w:line="360" w:lineRule="auto"/>
        <w:jc w:val="both"/>
        <w:rPr>
          <w:b w:val="0"/>
          <w:sz w:val="24"/>
          <w:u w:val="none"/>
        </w:rPr>
      </w:pPr>
      <w:r>
        <w:rPr>
          <w:b w:val="0"/>
          <w:sz w:val="24"/>
          <w:u w:val="none"/>
        </w:rPr>
        <w:t>As the correlation is not significant it suggests that the annual precipitation levels had little or no effect on Sycamore radial growth (shown in figure 4.9).</w:t>
      </w:r>
    </w:p>
    <w:p w:rsidR="001C0D62" w:rsidRDefault="001C0D62">
      <w:pPr>
        <w:rPr>
          <w:rFonts w:ascii="Arial" w:hAnsi="Arial" w:cs="Arial"/>
        </w:rPr>
      </w:pPr>
    </w:p>
    <w:p w:rsidR="001C0D62" w:rsidRDefault="001C0D62">
      <w:pPr>
        <w:rPr>
          <w:rFonts w:ascii="Arial" w:hAnsi="Arial" w:cs="Arial"/>
        </w:rPr>
      </w:pPr>
    </w:p>
    <w:p w:rsidR="001C0D62" w:rsidRDefault="001C0D62">
      <w:pPr>
        <w:spacing w:line="360" w:lineRule="auto"/>
        <w:jc w:val="center"/>
        <w:rPr>
          <w:rFonts w:ascii="Arial" w:hAnsi="Arial" w:cs="Arial"/>
          <w:b/>
          <w:bCs/>
          <w:u w:val="single"/>
        </w:rPr>
      </w:pPr>
      <w:r>
        <w:rPr>
          <w:rFonts w:ascii="Arial" w:hAnsi="Arial" w:cs="Arial"/>
          <w:b/>
          <w:bCs/>
          <w:u w:val="single"/>
        </w:rPr>
        <w:t>Figure 4.9: Scatter graph showing the average Sycamore ring widths (mm) Vs the annual precipitation levels (mm)</w:t>
      </w:r>
    </w:p>
    <w:p w:rsidR="001C0D62" w:rsidRDefault="001C0D62">
      <w:pPr>
        <w:jc w:val="center"/>
      </w:pPr>
      <w:r>
        <w:object w:dxaOrig="8640" w:dyaOrig="5760">
          <v:shape id="_x0000_i1040" type="#_x0000_t75" style="width:394pt;height:262pt" o:ole="">
            <v:imagedata r:id="rId29" o:title=""/>
          </v:shape>
          <o:OLEObject Type="Embed" ProgID="MtbGraph.Document.16" ShapeID="_x0000_i1040" DrawAspect="Content" ObjectID="_1432030843" r:id="rId30"/>
        </w:object>
      </w:r>
    </w:p>
    <w:p w:rsidR="001C0D62" w:rsidRDefault="001C0D62"/>
    <w:p w:rsidR="001C0D62" w:rsidRDefault="001C0D62"/>
    <w:p w:rsidR="001C0D62" w:rsidRDefault="001C0D62">
      <w:pPr>
        <w:pStyle w:val="Footer"/>
        <w:tabs>
          <w:tab w:val="clear" w:pos="4320"/>
          <w:tab w:val="clear" w:pos="8640"/>
        </w:tabs>
        <w:jc w:val="center"/>
      </w:pPr>
      <w:r>
        <w:t>………………………..</w:t>
      </w: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rPr>
      </w:pPr>
      <w:r>
        <w:rPr>
          <w:rFonts w:ascii="Arial" w:hAnsi="Arial" w:cs="Arial"/>
        </w:rPr>
        <w:t>Figure 4.10 shows the average Beech ring widths (mm) against the annual precipitation records for the 40-year timescale for this study. The graph shows that the data is quite difficult to interpret. Some of the largest ring widths coincide with years of lower precipitation such as 1975 (when the precipitation was 953.62mm with an average ring width of 2.22mm). Equally however the opposite is true, with some larger ring widths occurring during years of higher precipitation such as 1980 (where the precipitation reached 1478.5mm, with ring widths averaging 2.14mm).</w:t>
      </w:r>
    </w:p>
    <w:p w:rsidR="001C0D62" w:rsidRDefault="001C0D62">
      <w:pPr>
        <w:spacing w:line="360" w:lineRule="auto"/>
        <w:rPr>
          <w:rFonts w:ascii="Arial" w:hAnsi="Arial" w:cs="Arial"/>
        </w:rPr>
      </w:pPr>
    </w:p>
    <w:p w:rsidR="001C0D62" w:rsidRDefault="001C0D62">
      <w:pPr>
        <w:pStyle w:val="Heading2"/>
        <w:spacing w:line="360" w:lineRule="auto"/>
        <w:rPr>
          <w:bCs w:val="0"/>
          <w:sz w:val="24"/>
        </w:rPr>
      </w:pPr>
      <w:r>
        <w:rPr>
          <w:bCs w:val="0"/>
          <w:sz w:val="24"/>
        </w:rPr>
        <w:t>Figure 4.10: The annual precipitation (mm) Vs the average Beech ring widths (mm) between 1972 and 2012</w:t>
      </w:r>
    </w:p>
    <w:p w:rsidR="001C0D62" w:rsidRDefault="001F31B4">
      <w:pPr>
        <w:jc w:val="center"/>
      </w:pPr>
      <w:r>
        <w:rPr>
          <w:noProof/>
          <w:lang w:val="en-GB" w:eastAsia="en-GB"/>
        </w:rPr>
        <w:drawing>
          <wp:inline distT="0" distB="0" distL="0" distR="0">
            <wp:extent cx="5486400" cy="3340100"/>
            <wp:effectExtent l="0" t="0" r="0" b="0"/>
            <wp:docPr id="17" name="Object 1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1C0D62" w:rsidRDefault="001C0D62">
      <w:pPr>
        <w:jc w:val="center"/>
      </w:pPr>
    </w:p>
    <w:p w:rsidR="001C0D62" w:rsidRDefault="001C0D62">
      <w:pPr>
        <w:pStyle w:val="BodyText"/>
        <w:spacing w:line="360" w:lineRule="auto"/>
        <w:jc w:val="both"/>
        <w:rPr>
          <w:b w:val="0"/>
          <w:sz w:val="24"/>
          <w:u w:val="none"/>
        </w:rPr>
      </w:pPr>
      <w:r>
        <w:rPr>
          <w:b w:val="0"/>
          <w:sz w:val="24"/>
          <w:u w:val="none"/>
        </w:rPr>
        <w:t xml:space="preserve">A normality test has already been undertaken for precipitation (the data is known to be normally distributed). The normality test performed for the average Beech ring widths produced a P-value of 0.056. As this value is greater than 0.05, the Beech radial growth is normally distributed. A Pearson’s rank correlation test can be performed as both data sets are normally distributed. </w:t>
      </w:r>
    </w:p>
    <w:p w:rsidR="001C0D62" w:rsidRDefault="001C0D62">
      <w:pPr>
        <w:pStyle w:val="BodyText"/>
        <w:spacing w:line="360" w:lineRule="auto"/>
        <w:jc w:val="both"/>
        <w:rPr>
          <w:b w:val="0"/>
          <w:sz w:val="24"/>
          <w:u w:val="none"/>
        </w:rPr>
      </w:pPr>
    </w:p>
    <w:p w:rsidR="001C0D62" w:rsidRDefault="001C0D62">
      <w:pPr>
        <w:pStyle w:val="BodyText"/>
        <w:spacing w:line="360" w:lineRule="auto"/>
        <w:jc w:val="both"/>
        <w:rPr>
          <w:b w:val="0"/>
          <w:sz w:val="24"/>
          <w:u w:val="none"/>
        </w:rPr>
      </w:pPr>
      <w:r>
        <w:rPr>
          <w:b w:val="0"/>
          <w:sz w:val="24"/>
          <w:u w:val="none"/>
        </w:rPr>
        <w:t xml:space="preserve">Pearson’s rank correlation test: correlation value (r) of 0.171 (very little or no linear relationship between precipitation and Beech radial growth). </w:t>
      </w:r>
    </w:p>
    <w:p w:rsidR="001C0D62" w:rsidRDefault="001C0D62">
      <w:pPr>
        <w:pStyle w:val="BodyText"/>
        <w:spacing w:line="360" w:lineRule="auto"/>
        <w:jc w:val="both"/>
        <w:rPr>
          <w:b w:val="0"/>
          <w:sz w:val="24"/>
          <w:u w:val="none"/>
        </w:rPr>
      </w:pPr>
    </w:p>
    <w:p w:rsidR="001C0D62" w:rsidRDefault="001C0D62">
      <w:pPr>
        <w:pStyle w:val="BodyText"/>
        <w:spacing w:line="360" w:lineRule="auto"/>
        <w:jc w:val="both"/>
        <w:rPr>
          <w:b w:val="0"/>
          <w:sz w:val="24"/>
          <w:u w:val="none"/>
        </w:rPr>
      </w:pPr>
      <w:r>
        <w:rPr>
          <w:b w:val="0"/>
          <w:sz w:val="24"/>
          <w:u w:val="none"/>
        </w:rPr>
        <w:t xml:space="preserve">P-value: 0.284 (there is no significant relationship between the two variables). </w:t>
      </w:r>
    </w:p>
    <w:p w:rsidR="001C0D62" w:rsidRDefault="001C0D62">
      <w:pPr>
        <w:pStyle w:val="BodyText"/>
        <w:spacing w:line="360" w:lineRule="auto"/>
        <w:jc w:val="both"/>
        <w:rPr>
          <w:b w:val="0"/>
          <w:sz w:val="24"/>
          <w:u w:val="none"/>
        </w:rPr>
      </w:pPr>
    </w:p>
    <w:p w:rsidR="001C0D62" w:rsidRDefault="001C0D62">
      <w:pPr>
        <w:spacing w:line="360" w:lineRule="auto"/>
        <w:jc w:val="both"/>
        <w:rPr>
          <w:rFonts w:ascii="Arial" w:hAnsi="Arial" w:cs="Arial"/>
          <w:lang w:val="en-GB" w:eastAsia="en-GB"/>
        </w:rPr>
      </w:pPr>
      <w:r>
        <w:rPr>
          <w:rFonts w:ascii="Arial" w:hAnsi="Arial" w:cs="Arial"/>
          <w:lang w:val="en-GB" w:eastAsia="en-GB"/>
        </w:rPr>
        <w:t>Null hypothesis: There is no relationship between the annual precipitation levels and the average Beech ring widths.</w:t>
      </w:r>
    </w:p>
    <w:p w:rsidR="001C0D62" w:rsidRDefault="001C0D62">
      <w:pPr>
        <w:spacing w:line="360" w:lineRule="auto"/>
      </w:pPr>
      <w:r>
        <w:rPr>
          <w:rFonts w:ascii="Arial" w:hAnsi="Arial" w:cs="Arial"/>
          <w:lang w:val="en-GB" w:eastAsia="en-GB"/>
        </w:rPr>
        <w:t>Alternative hypothesis: There is a relationship between the annual precipitation levels and the average Beech ring widths</w:t>
      </w:r>
      <w:r>
        <w:rPr>
          <w:rFonts w:ascii="Arial" w:hAnsi="Arial" w:cs="Arial"/>
        </w:rPr>
        <w:t>.</w:t>
      </w:r>
    </w:p>
    <w:p w:rsidR="001C0D62" w:rsidRDefault="001C0D62">
      <w:pPr>
        <w:spacing w:line="360" w:lineRule="auto"/>
        <w:rPr>
          <w:rFonts w:ascii="Arial" w:hAnsi="Arial" w:cs="Arial"/>
          <w:i/>
          <w:iCs/>
        </w:rPr>
      </w:pPr>
      <w:r>
        <w:rPr>
          <w:rFonts w:ascii="Arial" w:hAnsi="Arial" w:cs="Arial"/>
          <w:i/>
          <w:iCs/>
        </w:rPr>
        <w:t>The correlation coefficient:</w:t>
      </w:r>
      <w:r>
        <w:rPr>
          <w:rFonts w:ascii="Arial" w:hAnsi="Arial" w:cs="Arial"/>
          <w:i/>
          <w:iCs/>
        </w:rPr>
        <w:br/>
        <w:t>r² = 0.029241 – 2%</w:t>
      </w:r>
    </w:p>
    <w:p w:rsidR="001C0D62" w:rsidRDefault="001C0D62">
      <w:pPr>
        <w:spacing w:line="360" w:lineRule="auto"/>
        <w:rPr>
          <w:rFonts w:ascii="Arial" w:hAnsi="Arial" w:cs="Arial"/>
        </w:rPr>
      </w:pPr>
      <w:r>
        <w:rPr>
          <w:rFonts w:ascii="Arial" w:hAnsi="Arial" w:cs="Arial"/>
          <w:i/>
          <w:iCs/>
        </w:rPr>
        <w:t xml:space="preserve">Only 2% of the variation in Beech radial growth can be explained by the variation in precipitation levels. </w:t>
      </w:r>
    </w:p>
    <w:p w:rsidR="001C0D62" w:rsidRDefault="001C0D62">
      <w:pPr>
        <w:pStyle w:val="BodyText"/>
        <w:spacing w:line="360" w:lineRule="auto"/>
        <w:jc w:val="both"/>
        <w:rPr>
          <w:b w:val="0"/>
          <w:sz w:val="24"/>
          <w:u w:val="none"/>
        </w:rPr>
      </w:pPr>
    </w:p>
    <w:p w:rsidR="001C0D62" w:rsidRDefault="001C0D62">
      <w:pPr>
        <w:pStyle w:val="BodyText"/>
        <w:spacing w:line="360" w:lineRule="auto"/>
        <w:jc w:val="both"/>
        <w:rPr>
          <w:b w:val="0"/>
          <w:sz w:val="24"/>
          <w:u w:val="none"/>
        </w:rPr>
      </w:pPr>
      <w:r>
        <w:rPr>
          <w:b w:val="0"/>
          <w:sz w:val="24"/>
          <w:u w:val="none"/>
        </w:rPr>
        <w:t>Critical value: (correlation coefficient: 0.029241) shows no level of significance that would be considered not due to chance (greater than the rejection level of 5%) - Null hypothesis was accepted as no relationship was found.</w:t>
      </w:r>
    </w:p>
    <w:p w:rsidR="001C0D62" w:rsidRDefault="001C0D62">
      <w:pPr>
        <w:pStyle w:val="BodyText"/>
        <w:spacing w:line="360" w:lineRule="auto"/>
        <w:jc w:val="both"/>
        <w:rPr>
          <w:b w:val="0"/>
          <w:sz w:val="24"/>
          <w:u w:val="none"/>
        </w:rPr>
      </w:pPr>
    </w:p>
    <w:p w:rsidR="001C0D62" w:rsidRDefault="001C0D62">
      <w:pPr>
        <w:pStyle w:val="BodyText"/>
        <w:spacing w:line="360" w:lineRule="auto"/>
        <w:jc w:val="both"/>
      </w:pPr>
      <w:r>
        <w:rPr>
          <w:b w:val="0"/>
          <w:sz w:val="24"/>
          <w:u w:val="none"/>
        </w:rPr>
        <w:t>Therefore as the correlation is not significant it suggests that the annual precipitation levels had little or no effect on Beech radial growth (shown in figure 4.11).</w:t>
      </w:r>
    </w:p>
    <w:p w:rsidR="001C0D62" w:rsidRDefault="001C0D62">
      <w:pPr>
        <w:pStyle w:val="BodyText"/>
        <w:spacing w:line="360" w:lineRule="auto"/>
      </w:pPr>
    </w:p>
    <w:p w:rsidR="001C0D62" w:rsidRDefault="001C0D62">
      <w:pPr>
        <w:spacing w:line="360" w:lineRule="auto"/>
        <w:jc w:val="center"/>
        <w:rPr>
          <w:rFonts w:ascii="Arial" w:hAnsi="Arial" w:cs="Arial"/>
          <w:b/>
          <w:bCs/>
          <w:u w:val="single"/>
        </w:rPr>
      </w:pPr>
      <w:r>
        <w:rPr>
          <w:rFonts w:ascii="Arial" w:hAnsi="Arial" w:cs="Arial"/>
          <w:b/>
          <w:bCs/>
          <w:u w:val="single"/>
        </w:rPr>
        <w:t>Figure 4.11: Scatter graph showing the average Beech ring widths (mm) Vs the annual precipitation levels (mm)</w:t>
      </w:r>
    </w:p>
    <w:p w:rsidR="001C0D62" w:rsidRDefault="001C0D62">
      <w:pPr>
        <w:pStyle w:val="BodyText"/>
      </w:pPr>
      <w:r>
        <w:object w:dxaOrig="8640" w:dyaOrig="5760">
          <v:shape id="_x0000_i1042" type="#_x0000_t75" style="width:405pt;height:270pt" o:ole="">
            <v:imagedata r:id="rId32" o:title=""/>
          </v:shape>
          <o:OLEObject Type="Embed" ProgID="MtbGraph.Document.16" ShapeID="_x0000_i1042" DrawAspect="Content" ObjectID="_1432030844" r:id="rId33"/>
        </w:object>
      </w:r>
    </w:p>
    <w:p w:rsidR="001C0D62" w:rsidRDefault="001C0D62">
      <w:pPr>
        <w:pStyle w:val="BodyText"/>
        <w:jc w:val="both"/>
      </w:pPr>
    </w:p>
    <w:p w:rsidR="001C0D62" w:rsidRDefault="001C0D62">
      <w:pPr>
        <w:jc w:val="both"/>
        <w:rPr>
          <w:rFonts w:ascii="Arial" w:hAnsi="Arial" w:cs="Arial"/>
        </w:rPr>
      </w:pPr>
    </w:p>
    <w:p w:rsidR="001C0D62" w:rsidRDefault="001C0D62">
      <w:pPr>
        <w:pStyle w:val="BodyText2"/>
        <w:spacing w:line="360" w:lineRule="auto"/>
      </w:pPr>
      <w:r>
        <w:t>Figure 4.12 shows the average Oak ring widths (mm) against the annual precipitation levels for the 40-year timescale for this study. The graph appears to indicate that those years, which contained the largest ring widths, coincided with those years with lower precipitation levels (such as 1976 where the average ring width was 1.81mm, with 995.1mm of precipitation). This can be seen in many places throughout the graph. Also, years with high precipitation levels had small ring widths (such as 1981, where the precipitation reached 1578.4mm with the average ring width reaching just 1.59mm). This isn’t reflective across the whole graph but there does appear to be a trend.</w:t>
      </w:r>
    </w:p>
    <w:p w:rsidR="001C0D62" w:rsidRDefault="001C0D62">
      <w:pPr>
        <w:spacing w:line="360" w:lineRule="auto"/>
      </w:pPr>
    </w:p>
    <w:p w:rsidR="001C0D62" w:rsidRDefault="001C0D62">
      <w:pPr>
        <w:pStyle w:val="Heading2"/>
        <w:spacing w:line="360" w:lineRule="auto"/>
        <w:rPr>
          <w:bCs w:val="0"/>
          <w:sz w:val="24"/>
        </w:rPr>
      </w:pPr>
      <w:r>
        <w:rPr>
          <w:bCs w:val="0"/>
          <w:sz w:val="24"/>
        </w:rPr>
        <w:t>Figure 4.12: The annual precipitation (mm) Vs the average Oak ring widths (mm) between 1972 and 2012</w:t>
      </w:r>
    </w:p>
    <w:p w:rsidR="001C0D62" w:rsidRDefault="001F31B4">
      <w:pPr>
        <w:pStyle w:val="BodyText"/>
      </w:pPr>
      <w:r>
        <w:rPr>
          <w:noProof/>
          <w:lang w:val="en-GB" w:eastAsia="en-GB"/>
        </w:rPr>
        <w:drawing>
          <wp:inline distT="0" distB="0" distL="0" distR="0">
            <wp:extent cx="5486400" cy="3060700"/>
            <wp:effectExtent l="0" t="0" r="0" b="0"/>
            <wp:docPr id="19" name="Object 1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1C0D62" w:rsidRDefault="001C0D62">
      <w:pPr>
        <w:pStyle w:val="BodyText"/>
      </w:pPr>
    </w:p>
    <w:p w:rsidR="001C0D62" w:rsidRDefault="001C0D62">
      <w:pPr>
        <w:pStyle w:val="BodyText"/>
        <w:spacing w:line="360" w:lineRule="auto"/>
        <w:jc w:val="both"/>
        <w:rPr>
          <w:b w:val="0"/>
          <w:sz w:val="24"/>
          <w:u w:val="none"/>
        </w:rPr>
      </w:pPr>
    </w:p>
    <w:p w:rsidR="001C0D62" w:rsidRDefault="001C0D62">
      <w:pPr>
        <w:pStyle w:val="BodyText"/>
        <w:spacing w:line="360" w:lineRule="auto"/>
        <w:jc w:val="both"/>
        <w:rPr>
          <w:b w:val="0"/>
          <w:sz w:val="24"/>
          <w:u w:val="none"/>
        </w:rPr>
      </w:pPr>
      <w:r>
        <w:rPr>
          <w:b w:val="0"/>
          <w:sz w:val="24"/>
          <w:u w:val="none"/>
        </w:rPr>
        <w:t xml:space="preserve">A normality test was performed for the average Oak ring widths, which gave a P-value of 0.008. As this value is less than 0.05 the normality test shows that the average Oak ring widths data set is not normally distributed. As the precipitation data is known to be normally distributed, but the Oak radial growth is not, a Spearman’s rank correlation test will be performed. </w:t>
      </w:r>
    </w:p>
    <w:p w:rsidR="001C0D62" w:rsidRDefault="001C0D62">
      <w:pPr>
        <w:spacing w:line="360" w:lineRule="auto"/>
        <w:rPr>
          <w:rFonts w:ascii="Arial" w:hAnsi="Arial" w:cs="Arial"/>
          <w:lang w:val="en-GB" w:eastAsia="en-GB"/>
        </w:rPr>
      </w:pPr>
      <w:r>
        <w:rPr>
          <w:rFonts w:ascii="Arial" w:hAnsi="Arial" w:cs="Arial"/>
          <w:lang w:val="en-GB" w:eastAsia="en-GB"/>
        </w:rPr>
        <w:t xml:space="preserve">Spearman’s rank correlation: 0.250 (between the annual precipitation levels and Oak radial growth) - a weak linear relationship suggesting that there is a relationship between the two variables. </w:t>
      </w:r>
    </w:p>
    <w:p w:rsidR="001C0D62" w:rsidRDefault="001C0D62">
      <w:pPr>
        <w:spacing w:line="360" w:lineRule="auto"/>
        <w:rPr>
          <w:rFonts w:ascii="Arial" w:hAnsi="Arial" w:cs="Arial"/>
          <w:lang w:val="en-GB" w:eastAsia="en-GB"/>
        </w:rPr>
      </w:pPr>
    </w:p>
    <w:p w:rsidR="001C0D62" w:rsidRDefault="001C0D62">
      <w:pPr>
        <w:spacing w:line="360" w:lineRule="auto"/>
        <w:rPr>
          <w:rFonts w:ascii="Arial" w:hAnsi="Arial" w:cs="Arial"/>
        </w:rPr>
      </w:pPr>
      <w:r>
        <w:rPr>
          <w:rFonts w:ascii="Arial" w:hAnsi="Arial" w:cs="Arial"/>
        </w:rPr>
        <w:t>The P-values provided for Spearman’s rank are not accurate; therefore they will not be used to interpret the data.</w:t>
      </w:r>
    </w:p>
    <w:p w:rsidR="001C0D62" w:rsidRDefault="001C0D62">
      <w:pPr>
        <w:spacing w:line="360" w:lineRule="auto"/>
        <w:rPr>
          <w:rFonts w:ascii="Arial" w:hAnsi="Arial" w:cs="Arial"/>
        </w:rPr>
      </w:pPr>
    </w:p>
    <w:p w:rsidR="001C0D62" w:rsidRDefault="001C0D62">
      <w:pPr>
        <w:spacing w:line="360" w:lineRule="auto"/>
        <w:jc w:val="both"/>
        <w:rPr>
          <w:rFonts w:ascii="Arial" w:hAnsi="Arial" w:cs="Arial"/>
          <w:lang w:val="en-GB" w:eastAsia="en-GB"/>
        </w:rPr>
      </w:pPr>
      <w:r>
        <w:rPr>
          <w:rFonts w:ascii="Arial" w:hAnsi="Arial" w:cs="Arial"/>
          <w:lang w:val="en-GB" w:eastAsia="en-GB"/>
        </w:rPr>
        <w:t>Null hypothesis: There is no relationship between the annual precipitation levels and the average Oak ring widths.</w:t>
      </w:r>
    </w:p>
    <w:p w:rsidR="001C0D62" w:rsidRDefault="001C0D62">
      <w:pPr>
        <w:spacing w:line="360" w:lineRule="auto"/>
        <w:jc w:val="both"/>
      </w:pPr>
      <w:r>
        <w:rPr>
          <w:rFonts w:ascii="Arial" w:hAnsi="Arial" w:cs="Arial"/>
          <w:lang w:val="en-GB" w:eastAsia="en-GB"/>
        </w:rPr>
        <w:t>Alternative hypothesis: There is a relationship between the annual precipitation levels and the average Oak ring widths</w:t>
      </w:r>
      <w:r>
        <w:rPr>
          <w:rFonts w:ascii="Arial" w:hAnsi="Arial" w:cs="Arial"/>
        </w:rPr>
        <w:t>.</w:t>
      </w:r>
    </w:p>
    <w:p w:rsidR="001C0D62" w:rsidRDefault="001C0D62">
      <w:pPr>
        <w:autoSpaceDE w:val="0"/>
        <w:autoSpaceDN w:val="0"/>
        <w:adjustRightInd w:val="0"/>
        <w:spacing w:line="360" w:lineRule="auto"/>
        <w:rPr>
          <w:rFonts w:ascii="Arial" w:hAnsi="Arial" w:cs="Arial"/>
          <w:lang w:val="en-GB" w:eastAsia="en-GB"/>
        </w:rPr>
      </w:pPr>
    </w:p>
    <w:p w:rsidR="001C0D62" w:rsidRDefault="001C0D62">
      <w:pPr>
        <w:spacing w:line="360" w:lineRule="auto"/>
        <w:rPr>
          <w:rFonts w:ascii="Arial" w:hAnsi="Arial" w:cs="Arial"/>
          <w:i/>
          <w:iCs/>
        </w:rPr>
      </w:pPr>
      <w:r>
        <w:rPr>
          <w:rFonts w:ascii="Arial" w:hAnsi="Arial" w:cs="Arial"/>
          <w:i/>
          <w:iCs/>
        </w:rPr>
        <w:t>The correlation coefficient:</w:t>
      </w:r>
      <w:r>
        <w:rPr>
          <w:rFonts w:ascii="Arial" w:hAnsi="Arial" w:cs="Arial"/>
          <w:i/>
          <w:iCs/>
        </w:rPr>
        <w:br/>
        <w:t>r² = 0.0625 – 6%</w:t>
      </w:r>
    </w:p>
    <w:p w:rsidR="001C0D62" w:rsidRDefault="001C0D62">
      <w:pPr>
        <w:spacing w:line="360" w:lineRule="auto"/>
        <w:rPr>
          <w:rFonts w:ascii="Arial" w:hAnsi="Arial" w:cs="Arial"/>
        </w:rPr>
      </w:pPr>
      <w:r>
        <w:rPr>
          <w:rFonts w:ascii="Arial" w:hAnsi="Arial" w:cs="Arial"/>
          <w:i/>
          <w:iCs/>
        </w:rPr>
        <w:t>6% of the variation in Oak radial growth can be explained by the variation in precipitation levels.</w:t>
      </w:r>
      <w:r>
        <w:rPr>
          <w:rFonts w:ascii="Arial" w:hAnsi="Arial" w:cs="Arial"/>
        </w:rPr>
        <w:t xml:space="preserve"> </w:t>
      </w:r>
    </w:p>
    <w:p w:rsidR="001C0D62" w:rsidRDefault="001C0D62">
      <w:pPr>
        <w:autoSpaceDE w:val="0"/>
        <w:autoSpaceDN w:val="0"/>
        <w:adjustRightInd w:val="0"/>
        <w:spacing w:line="360" w:lineRule="auto"/>
        <w:rPr>
          <w:rFonts w:ascii="Arial" w:hAnsi="Arial" w:cs="Arial"/>
          <w:lang w:val="en-GB" w:eastAsia="en-GB"/>
        </w:rPr>
      </w:pPr>
    </w:p>
    <w:p w:rsidR="001C0D62" w:rsidRDefault="001C0D62">
      <w:pPr>
        <w:pStyle w:val="BodyText"/>
        <w:spacing w:line="360" w:lineRule="auto"/>
        <w:jc w:val="both"/>
        <w:rPr>
          <w:b w:val="0"/>
          <w:sz w:val="24"/>
          <w:u w:val="none"/>
        </w:rPr>
      </w:pPr>
      <w:r>
        <w:rPr>
          <w:b w:val="0"/>
          <w:sz w:val="24"/>
          <w:u w:val="none"/>
        </w:rPr>
        <w:t xml:space="preserve">Critical value: (correlation coefficient: 0.0625) shows no level of significance that would be considered not due to chance (greater than the rejection level of 5%) - Null hypothesis was accepted as no relationship was found. </w:t>
      </w:r>
    </w:p>
    <w:p w:rsidR="001C0D62" w:rsidRDefault="001C0D62">
      <w:pPr>
        <w:pStyle w:val="BodyText"/>
        <w:spacing w:line="360" w:lineRule="auto"/>
        <w:jc w:val="both"/>
        <w:rPr>
          <w:b w:val="0"/>
          <w:sz w:val="24"/>
          <w:u w:val="none"/>
        </w:rPr>
      </w:pPr>
    </w:p>
    <w:p w:rsidR="001C0D62" w:rsidRDefault="001C0D62">
      <w:pPr>
        <w:pStyle w:val="BodyText"/>
        <w:spacing w:line="360" w:lineRule="auto"/>
        <w:jc w:val="both"/>
        <w:rPr>
          <w:b w:val="0"/>
          <w:sz w:val="24"/>
          <w:u w:val="none"/>
        </w:rPr>
      </w:pPr>
      <w:r>
        <w:rPr>
          <w:b w:val="0"/>
          <w:sz w:val="24"/>
          <w:u w:val="none"/>
        </w:rPr>
        <w:t>However, this figure (0.0625) sits just outside the 5% line (95% significance), so there could possibly be a relationship between Oak radial growth and precipitation.</w:t>
      </w:r>
    </w:p>
    <w:p w:rsidR="001C0D62" w:rsidRDefault="001C0D62">
      <w:pPr>
        <w:pStyle w:val="BodyText"/>
        <w:spacing w:line="360" w:lineRule="auto"/>
        <w:jc w:val="both"/>
        <w:rPr>
          <w:b w:val="0"/>
          <w:sz w:val="24"/>
          <w:u w:val="none"/>
        </w:rPr>
      </w:pPr>
    </w:p>
    <w:p w:rsidR="001C0D62" w:rsidRDefault="001C0D62">
      <w:pPr>
        <w:pStyle w:val="BodyText"/>
        <w:spacing w:line="360" w:lineRule="auto"/>
        <w:jc w:val="both"/>
        <w:rPr>
          <w:b w:val="0"/>
          <w:sz w:val="24"/>
          <w:u w:val="none"/>
        </w:rPr>
      </w:pPr>
      <w:r>
        <w:rPr>
          <w:b w:val="0"/>
          <w:sz w:val="24"/>
          <w:u w:val="none"/>
        </w:rPr>
        <w:t>Therefore as the correlation is classed as not being significant it suggests that the annual precipitation levels had little or no effect on Oak radial growth, although examining the data suggests precipitation does appear to have some influence on Oak radial growth (figure 4.13).</w:t>
      </w:r>
    </w:p>
    <w:p w:rsidR="001C0D62" w:rsidRDefault="001C0D62">
      <w:pPr>
        <w:pStyle w:val="BodyText"/>
        <w:jc w:val="both"/>
        <w:rPr>
          <w:b w:val="0"/>
          <w:sz w:val="24"/>
          <w:u w:val="none"/>
        </w:rPr>
      </w:pPr>
    </w:p>
    <w:p w:rsidR="001C0D62" w:rsidRDefault="001C0D62">
      <w:pPr>
        <w:pStyle w:val="BodyText"/>
        <w:jc w:val="both"/>
        <w:rPr>
          <w:b w:val="0"/>
          <w:sz w:val="24"/>
          <w:u w:val="none"/>
        </w:rPr>
      </w:pPr>
    </w:p>
    <w:p w:rsidR="001C0D62" w:rsidRDefault="001C0D62">
      <w:pPr>
        <w:pStyle w:val="Heading2"/>
        <w:spacing w:line="360" w:lineRule="auto"/>
        <w:rPr>
          <w:bCs w:val="0"/>
          <w:sz w:val="24"/>
        </w:rPr>
      </w:pPr>
      <w:r>
        <w:rPr>
          <w:bCs w:val="0"/>
          <w:sz w:val="24"/>
        </w:rPr>
        <w:t>Figure 4.13: Scatter graph showing the average Oak ring widths (mm) Vs the annual precipitation levels (mm)</w:t>
      </w:r>
    </w:p>
    <w:p w:rsidR="001C0D62" w:rsidRDefault="001C0D62">
      <w:pPr>
        <w:pStyle w:val="BodyText"/>
      </w:pPr>
      <w:r>
        <w:object w:dxaOrig="8640" w:dyaOrig="5760">
          <v:shape id="_x0000_i1044" type="#_x0000_t75" style="width:396pt;height:264pt" o:ole="">
            <v:imagedata r:id="rId35" o:title=""/>
          </v:shape>
          <o:OLEObject Type="Embed" ProgID="MtbGraph.Document.16" ShapeID="_x0000_i1044" DrawAspect="Content" ObjectID="_1432030845" r:id="rId36"/>
        </w:object>
      </w:r>
    </w:p>
    <w:p w:rsidR="001C0D62" w:rsidRDefault="001C0D62">
      <w:pPr>
        <w:pStyle w:val="BodyText"/>
        <w:jc w:val="both"/>
      </w:pPr>
    </w:p>
    <w:p w:rsidR="001C0D62" w:rsidRDefault="001C0D62">
      <w:pPr>
        <w:rPr>
          <w:rFonts w:ascii="Arial" w:hAnsi="Arial" w:cs="Arial"/>
          <w:b/>
          <w:bCs/>
          <w:sz w:val="26"/>
          <w:u w:val="single"/>
        </w:rPr>
      </w:pPr>
    </w:p>
    <w:p w:rsidR="001C0D62" w:rsidRDefault="001C0D62">
      <w:pPr>
        <w:jc w:val="center"/>
        <w:rPr>
          <w:rFonts w:ascii="Arial" w:hAnsi="Arial" w:cs="Arial"/>
          <w:sz w:val="26"/>
        </w:rPr>
      </w:pPr>
      <w:r>
        <w:rPr>
          <w:rFonts w:ascii="Arial" w:hAnsi="Arial" w:cs="Arial"/>
          <w:sz w:val="26"/>
        </w:rPr>
        <w:t>………………………………..</w:t>
      </w:r>
    </w:p>
    <w:p w:rsidR="001C0D62" w:rsidRDefault="001C0D62">
      <w:pPr>
        <w:spacing w:line="360" w:lineRule="auto"/>
        <w:rPr>
          <w:rFonts w:ascii="Arial" w:hAnsi="Arial" w:cs="Arial"/>
          <w:b/>
          <w:bCs/>
          <w:sz w:val="26"/>
          <w:u w:val="single"/>
        </w:rPr>
      </w:pPr>
    </w:p>
    <w:p w:rsidR="001C0D62" w:rsidRDefault="001C0D62">
      <w:pPr>
        <w:spacing w:line="360" w:lineRule="auto"/>
        <w:rPr>
          <w:rFonts w:ascii="Arial" w:hAnsi="Arial" w:cs="Arial"/>
          <w:b/>
          <w:bCs/>
          <w:sz w:val="26"/>
          <w:u w:val="single"/>
        </w:rPr>
      </w:pPr>
      <w:r>
        <w:rPr>
          <w:rFonts w:ascii="Arial" w:hAnsi="Arial" w:cs="Arial"/>
          <w:b/>
          <w:bCs/>
          <w:sz w:val="26"/>
          <w:u w:val="single"/>
        </w:rPr>
        <w:t>4.3: The influence of temperature on radial growth</w:t>
      </w: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rPr>
      </w:pPr>
      <w:r>
        <w:rPr>
          <w:rFonts w:ascii="Arial" w:hAnsi="Arial" w:cs="Arial"/>
        </w:rPr>
        <w:t>Figure 4.14 shows the average Sycamore ring widths (mm) against the annual average temperature levels for the 40-year timescale for this study. The graph appears to indicate that in places, years with lower temperature had larger radial growth rates such as 1979, (where the radial growth reached 1.77mm with an annual average temperature of 10.9ºC). Also the largest ring width (1.87mm) coincided with the second lowest temperature of 11.5ºC for 2010. The trend doesn’t appear to be clear however, as the data is varied.</w:t>
      </w:r>
    </w:p>
    <w:p w:rsidR="001C0D62" w:rsidRDefault="001C0D62">
      <w:pPr>
        <w:spacing w:line="360" w:lineRule="auto"/>
        <w:jc w:val="both"/>
        <w:rPr>
          <w:rFonts w:ascii="Arial" w:hAnsi="Arial" w:cs="Arial"/>
        </w:rPr>
      </w:pPr>
    </w:p>
    <w:p w:rsidR="001C0D62" w:rsidRDefault="001C0D62">
      <w:pPr>
        <w:pStyle w:val="Heading2"/>
        <w:spacing w:line="360" w:lineRule="auto"/>
        <w:rPr>
          <w:bCs w:val="0"/>
          <w:sz w:val="24"/>
        </w:rPr>
      </w:pPr>
      <w:r>
        <w:rPr>
          <w:bCs w:val="0"/>
          <w:sz w:val="24"/>
        </w:rPr>
        <w:t>Figure 4.14: The annual average temperature (ºC) Vs the average Sycamore ring widths (mm) between 1972 and 2012</w:t>
      </w:r>
    </w:p>
    <w:p w:rsidR="001C0D62" w:rsidRDefault="001F31B4">
      <w:pPr>
        <w:jc w:val="center"/>
      </w:pPr>
      <w:r>
        <w:rPr>
          <w:noProof/>
          <w:lang w:val="en-GB" w:eastAsia="en-GB"/>
        </w:rPr>
        <w:drawing>
          <wp:inline distT="0" distB="0" distL="0" distR="0">
            <wp:extent cx="5105400" cy="3149600"/>
            <wp:effectExtent l="0" t="0" r="0" b="0"/>
            <wp:docPr id="21" name="Object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1C0D62" w:rsidRDefault="001C0D62">
      <w:pPr>
        <w:jc w:val="both"/>
      </w:pPr>
    </w:p>
    <w:p w:rsidR="001C0D62" w:rsidRDefault="001C0D62">
      <w:pPr>
        <w:pStyle w:val="BodyText"/>
        <w:spacing w:line="360" w:lineRule="auto"/>
        <w:jc w:val="both"/>
        <w:rPr>
          <w:b w:val="0"/>
          <w:sz w:val="24"/>
          <w:u w:val="none"/>
        </w:rPr>
      </w:pPr>
      <w:r>
        <w:rPr>
          <w:b w:val="0"/>
          <w:sz w:val="24"/>
          <w:u w:val="none"/>
        </w:rPr>
        <w:t xml:space="preserve">The P-value for the temperature is 0.300. As this value is greater than 0.05, this means that the data set is normally distributed. As the normal distribution has already been determined for Sycamore ring widths (data set is normally distributed), a Pearson’s rank correlation test will be performed. </w:t>
      </w:r>
    </w:p>
    <w:p w:rsidR="001C0D62" w:rsidRDefault="001C0D62">
      <w:pPr>
        <w:spacing w:line="360" w:lineRule="auto"/>
        <w:jc w:val="both"/>
        <w:rPr>
          <w:sz w:val="20"/>
        </w:rPr>
      </w:pPr>
    </w:p>
    <w:p w:rsidR="001C0D62" w:rsidRDefault="001C0D62">
      <w:pPr>
        <w:pStyle w:val="BodyText"/>
        <w:spacing w:line="360" w:lineRule="auto"/>
        <w:jc w:val="both"/>
        <w:rPr>
          <w:b w:val="0"/>
          <w:sz w:val="24"/>
          <w:u w:val="none"/>
        </w:rPr>
      </w:pPr>
      <w:r>
        <w:rPr>
          <w:b w:val="0"/>
          <w:sz w:val="24"/>
          <w:u w:val="none"/>
        </w:rPr>
        <w:t xml:space="preserve">Pearson’s rank correlation test: 0.227 (between the annual average temperature and Sycamore radial growth) - weak linear relationship. </w:t>
      </w:r>
    </w:p>
    <w:p w:rsidR="001C0D62" w:rsidRDefault="001C0D62">
      <w:pPr>
        <w:pStyle w:val="BodyText"/>
        <w:spacing w:line="360" w:lineRule="auto"/>
        <w:jc w:val="both"/>
        <w:rPr>
          <w:b w:val="0"/>
          <w:sz w:val="20"/>
          <w:u w:val="none"/>
        </w:rPr>
      </w:pPr>
    </w:p>
    <w:p w:rsidR="001C0D62" w:rsidRDefault="001C0D62">
      <w:pPr>
        <w:pStyle w:val="BodyText"/>
        <w:spacing w:line="360" w:lineRule="auto"/>
        <w:jc w:val="both"/>
        <w:rPr>
          <w:b w:val="0"/>
          <w:sz w:val="24"/>
          <w:u w:val="none"/>
        </w:rPr>
      </w:pPr>
      <w:r>
        <w:rPr>
          <w:b w:val="0"/>
          <w:sz w:val="24"/>
          <w:u w:val="none"/>
        </w:rPr>
        <w:t xml:space="preserve">P-value: 0.153 – (there is no significant relationship between the two variables). </w:t>
      </w:r>
    </w:p>
    <w:p w:rsidR="001C0D62" w:rsidRDefault="001C0D62">
      <w:pPr>
        <w:pStyle w:val="BodyText"/>
        <w:spacing w:line="360" w:lineRule="auto"/>
        <w:jc w:val="left"/>
        <w:rPr>
          <w:sz w:val="20"/>
        </w:rPr>
      </w:pPr>
    </w:p>
    <w:p w:rsidR="001C0D62" w:rsidRDefault="001C0D62">
      <w:pPr>
        <w:spacing w:line="360" w:lineRule="auto"/>
        <w:jc w:val="both"/>
        <w:rPr>
          <w:rFonts w:ascii="Arial" w:hAnsi="Arial" w:cs="Arial"/>
          <w:lang w:val="en-GB" w:eastAsia="en-GB"/>
        </w:rPr>
      </w:pPr>
      <w:r>
        <w:rPr>
          <w:rFonts w:ascii="Arial" w:hAnsi="Arial" w:cs="Arial"/>
          <w:lang w:val="en-GB" w:eastAsia="en-GB"/>
        </w:rPr>
        <w:t>Null hypothesis: There is no relationship between the annual average temperature levels and the average Sycamore ring widths.</w:t>
      </w:r>
    </w:p>
    <w:p w:rsidR="001C0D62" w:rsidRDefault="001C0D62">
      <w:pPr>
        <w:pStyle w:val="BodyText"/>
        <w:spacing w:line="360" w:lineRule="auto"/>
        <w:jc w:val="both"/>
        <w:rPr>
          <w:b w:val="0"/>
          <w:sz w:val="24"/>
          <w:u w:val="none"/>
          <w:lang w:val="en-GB" w:eastAsia="en-GB"/>
        </w:rPr>
      </w:pPr>
      <w:r>
        <w:rPr>
          <w:b w:val="0"/>
          <w:sz w:val="24"/>
          <w:u w:val="none"/>
          <w:lang w:val="en-GB" w:eastAsia="en-GB"/>
        </w:rPr>
        <w:t>Alternative hypothesis: There is a relationship between the annual average temperature levels and the average Sycamore ring widths.</w:t>
      </w:r>
    </w:p>
    <w:p w:rsidR="001C0D62" w:rsidRDefault="001C0D62">
      <w:pPr>
        <w:pStyle w:val="BodyText"/>
        <w:spacing w:line="360" w:lineRule="auto"/>
        <w:rPr>
          <w:sz w:val="20"/>
        </w:rPr>
      </w:pPr>
    </w:p>
    <w:p w:rsidR="001C0D62" w:rsidRDefault="001C0D62">
      <w:pPr>
        <w:spacing w:line="360" w:lineRule="auto"/>
        <w:rPr>
          <w:rFonts w:ascii="Arial" w:hAnsi="Arial" w:cs="Arial"/>
          <w:i/>
          <w:iCs/>
        </w:rPr>
      </w:pPr>
      <w:r>
        <w:rPr>
          <w:rFonts w:ascii="Arial" w:hAnsi="Arial" w:cs="Arial"/>
          <w:i/>
          <w:iCs/>
        </w:rPr>
        <w:t>The correlation coefficient:</w:t>
      </w:r>
      <w:r>
        <w:rPr>
          <w:rFonts w:ascii="Arial" w:hAnsi="Arial" w:cs="Arial"/>
          <w:i/>
          <w:iCs/>
        </w:rPr>
        <w:br/>
        <w:t>r² = 0.051529 – 5%</w:t>
      </w:r>
    </w:p>
    <w:p w:rsidR="001C0D62" w:rsidRDefault="001C0D62">
      <w:pPr>
        <w:spacing w:line="360" w:lineRule="auto"/>
        <w:rPr>
          <w:rFonts w:ascii="Arial" w:hAnsi="Arial" w:cs="Arial"/>
        </w:rPr>
      </w:pPr>
      <w:r>
        <w:rPr>
          <w:rFonts w:ascii="Arial" w:hAnsi="Arial" w:cs="Arial"/>
          <w:i/>
          <w:iCs/>
        </w:rPr>
        <w:t>5% of the variation in Sycamore radial growth can be explained by the variation in temperature levels.</w:t>
      </w:r>
    </w:p>
    <w:p w:rsidR="001C0D62" w:rsidRDefault="001C0D62">
      <w:pPr>
        <w:spacing w:line="360" w:lineRule="auto"/>
        <w:rPr>
          <w:rFonts w:ascii="Arial" w:hAnsi="Arial" w:cs="Arial"/>
          <w:sz w:val="22"/>
        </w:rPr>
      </w:pPr>
    </w:p>
    <w:p w:rsidR="001C0D62" w:rsidRDefault="001C0D62">
      <w:pPr>
        <w:pStyle w:val="BodyText"/>
        <w:spacing w:line="360" w:lineRule="auto"/>
        <w:jc w:val="both"/>
        <w:rPr>
          <w:b w:val="0"/>
          <w:sz w:val="24"/>
          <w:u w:val="none"/>
        </w:rPr>
      </w:pPr>
      <w:r>
        <w:rPr>
          <w:b w:val="0"/>
          <w:sz w:val="24"/>
          <w:u w:val="none"/>
        </w:rPr>
        <w:t xml:space="preserve">Critical value: (correlation coefficient: 0.051529) shows no level of significance that would be considered not due to chance (greater than the rejection level of 5%) - Null hypothesis was accepted as no relationship was found. </w:t>
      </w:r>
    </w:p>
    <w:p w:rsidR="001C0D62" w:rsidRDefault="001C0D62">
      <w:pPr>
        <w:pStyle w:val="BodyText"/>
        <w:spacing w:line="360" w:lineRule="auto"/>
        <w:jc w:val="both"/>
        <w:rPr>
          <w:b w:val="0"/>
          <w:sz w:val="22"/>
          <w:u w:val="none"/>
        </w:rPr>
      </w:pPr>
    </w:p>
    <w:p w:rsidR="001C0D62" w:rsidRDefault="001C0D62">
      <w:pPr>
        <w:pStyle w:val="BodyText"/>
        <w:spacing w:line="360" w:lineRule="auto"/>
        <w:jc w:val="both"/>
        <w:rPr>
          <w:b w:val="0"/>
          <w:sz w:val="24"/>
          <w:u w:val="none"/>
        </w:rPr>
      </w:pPr>
      <w:r>
        <w:rPr>
          <w:b w:val="0"/>
          <w:sz w:val="24"/>
          <w:u w:val="none"/>
        </w:rPr>
        <w:t>However, this figure (0.051529) sits just outside the 5% line (95% significance), so possibly there could be a relationship between Sycamore radial growth and temperature.</w:t>
      </w:r>
    </w:p>
    <w:p w:rsidR="001C0D62" w:rsidRDefault="001C0D62">
      <w:pPr>
        <w:pStyle w:val="BodyText"/>
        <w:spacing w:line="360" w:lineRule="auto"/>
        <w:jc w:val="both"/>
        <w:rPr>
          <w:b w:val="0"/>
          <w:sz w:val="22"/>
          <w:u w:val="none"/>
        </w:rPr>
      </w:pPr>
    </w:p>
    <w:p w:rsidR="001C0D62" w:rsidRDefault="001C0D62">
      <w:pPr>
        <w:pStyle w:val="BodyText"/>
        <w:spacing w:line="360" w:lineRule="auto"/>
        <w:jc w:val="both"/>
        <w:rPr>
          <w:b w:val="0"/>
          <w:sz w:val="24"/>
          <w:u w:val="none"/>
        </w:rPr>
      </w:pPr>
      <w:r>
        <w:rPr>
          <w:b w:val="0"/>
          <w:sz w:val="24"/>
          <w:u w:val="none"/>
        </w:rPr>
        <w:t>Therefore as the correlation is classed as not being significant, it suggests that the annual average temperature levels had little or no effect on Sycamore radial growth, although temperature does appear to have some influence on Sycamore radial growth (increased temperature reduces the radial growth) as shown in figure 4.15.</w:t>
      </w:r>
    </w:p>
    <w:p w:rsidR="001C0D62" w:rsidRDefault="001C0D62">
      <w:pPr>
        <w:pStyle w:val="BodyText"/>
        <w:spacing w:line="360" w:lineRule="auto"/>
        <w:jc w:val="both"/>
        <w:rPr>
          <w:b w:val="0"/>
          <w:sz w:val="24"/>
          <w:u w:val="none"/>
        </w:rPr>
      </w:pPr>
    </w:p>
    <w:p w:rsidR="001C0D62" w:rsidRDefault="001C0D62">
      <w:pPr>
        <w:pStyle w:val="Heading2"/>
        <w:spacing w:line="360" w:lineRule="auto"/>
        <w:rPr>
          <w:bCs w:val="0"/>
          <w:sz w:val="24"/>
        </w:rPr>
      </w:pPr>
      <w:r>
        <w:rPr>
          <w:bCs w:val="0"/>
          <w:sz w:val="24"/>
        </w:rPr>
        <w:t>Figure 4.15: Scatter graph showing the average Sycamore ring widths (mm) Vs the average annual temperature (ºC)</w:t>
      </w:r>
    </w:p>
    <w:p w:rsidR="001C0D62" w:rsidRDefault="001C0D62">
      <w:pPr>
        <w:pStyle w:val="BodyText"/>
      </w:pPr>
      <w:r>
        <w:object w:dxaOrig="8640" w:dyaOrig="5760">
          <v:shape id="_x0000_i1046" type="#_x0000_t75" style="width:363pt;height:242pt" o:ole="">
            <v:imagedata r:id="rId38" o:title=""/>
          </v:shape>
          <o:OLEObject Type="Embed" ProgID="MtbGraph.Document.16" ShapeID="_x0000_i1046" DrawAspect="Content" ObjectID="_1432030846" r:id="rId39"/>
        </w:object>
      </w:r>
    </w:p>
    <w:p w:rsidR="001C0D62" w:rsidRDefault="001C0D62">
      <w:pPr>
        <w:pStyle w:val="BodyText"/>
        <w:spacing w:line="360" w:lineRule="auto"/>
        <w:jc w:val="both"/>
        <w:rPr>
          <w:b w:val="0"/>
          <w:sz w:val="24"/>
          <w:u w:val="none"/>
        </w:rPr>
      </w:pPr>
      <w:r>
        <w:rPr>
          <w:b w:val="0"/>
          <w:sz w:val="24"/>
          <w:u w:val="none"/>
        </w:rPr>
        <w:t>Figure 4.16 shows the average Beech ring widths (mm) against the annual average temperatures for the last 40 years. The graph is difficult to interpret as the data appears to be so varied. There are many increases and decreases of radial growth with similar levels of temperature such as 1982 and 1984, (which had the same temperature of 12.4ºC, but the ring width varied from 2.08mm to 1.97mm). 2003 had the highest temperature of 13.4ºC, with an average ring width of 2.11mm. The lowest temperature of 11.1ºC occurred during 1985/6, which coincided with two of the largest ring widths (2.15mm &amp; 2.17mm). The largest ring width average of 2.19mm occurred during 2001, when the temperature was 12.4ºC. There is perhaps a slight trend although the data is very varied.</w:t>
      </w:r>
    </w:p>
    <w:p w:rsidR="001C0D62" w:rsidRDefault="001C0D62">
      <w:pPr>
        <w:pStyle w:val="Footer"/>
        <w:tabs>
          <w:tab w:val="clear" w:pos="4320"/>
          <w:tab w:val="clear" w:pos="8640"/>
        </w:tabs>
        <w:spacing w:line="360" w:lineRule="auto"/>
      </w:pPr>
    </w:p>
    <w:p w:rsidR="001C0D62" w:rsidRDefault="001C0D62">
      <w:pPr>
        <w:pStyle w:val="Heading2"/>
        <w:spacing w:line="360" w:lineRule="auto"/>
        <w:rPr>
          <w:bCs w:val="0"/>
          <w:sz w:val="24"/>
        </w:rPr>
      </w:pPr>
      <w:r>
        <w:rPr>
          <w:bCs w:val="0"/>
          <w:sz w:val="24"/>
        </w:rPr>
        <w:t>Figure 4.16: The annual average temperature (ºC) Vs the average Beech ring widths (mm) between 1972 and 2012</w:t>
      </w:r>
    </w:p>
    <w:p w:rsidR="001C0D62" w:rsidRDefault="001F31B4">
      <w:pPr>
        <w:pStyle w:val="BodyText"/>
      </w:pPr>
      <w:r>
        <w:rPr>
          <w:noProof/>
          <w:lang w:val="en-GB" w:eastAsia="en-GB"/>
        </w:rPr>
        <w:drawing>
          <wp:inline distT="0" distB="0" distL="0" distR="0">
            <wp:extent cx="5486400" cy="3340100"/>
            <wp:effectExtent l="0" t="0" r="0" b="0"/>
            <wp:docPr id="23" name="Object 2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1C0D62" w:rsidRDefault="001C0D62">
      <w:pPr>
        <w:pStyle w:val="BodyText"/>
        <w:jc w:val="both"/>
      </w:pPr>
    </w:p>
    <w:p w:rsidR="001C0D62" w:rsidRDefault="001C0D62">
      <w:pPr>
        <w:pStyle w:val="BodyText"/>
        <w:spacing w:line="360" w:lineRule="auto"/>
        <w:jc w:val="both"/>
        <w:rPr>
          <w:b w:val="0"/>
          <w:sz w:val="24"/>
          <w:u w:val="none"/>
        </w:rPr>
      </w:pPr>
    </w:p>
    <w:p w:rsidR="001C0D62" w:rsidRDefault="001C0D62">
      <w:pPr>
        <w:pStyle w:val="BodyText"/>
        <w:spacing w:line="360" w:lineRule="auto"/>
        <w:jc w:val="both"/>
        <w:rPr>
          <w:b w:val="0"/>
          <w:sz w:val="24"/>
          <w:u w:val="none"/>
        </w:rPr>
      </w:pPr>
      <w:r>
        <w:rPr>
          <w:b w:val="0"/>
          <w:sz w:val="24"/>
          <w:u w:val="none"/>
        </w:rPr>
        <w:t>As normal distribution tests have already been undertaken for the annual average temperature and Beech radial growth (both normally distributed), a Pearson’s rank correlation test will be performed.</w:t>
      </w:r>
    </w:p>
    <w:p w:rsidR="001C0D62" w:rsidRDefault="001C0D62">
      <w:pPr>
        <w:pStyle w:val="BodyText"/>
        <w:spacing w:line="360" w:lineRule="auto"/>
        <w:jc w:val="both"/>
        <w:rPr>
          <w:b w:val="0"/>
          <w:sz w:val="24"/>
          <w:u w:val="none"/>
        </w:rPr>
      </w:pPr>
    </w:p>
    <w:p w:rsidR="001C0D62" w:rsidRDefault="001C0D62">
      <w:pPr>
        <w:pStyle w:val="BodyText"/>
        <w:spacing w:line="360" w:lineRule="auto"/>
        <w:jc w:val="both"/>
        <w:rPr>
          <w:b w:val="0"/>
          <w:sz w:val="24"/>
          <w:u w:val="none"/>
        </w:rPr>
      </w:pPr>
      <w:r>
        <w:rPr>
          <w:b w:val="0"/>
          <w:sz w:val="24"/>
          <w:u w:val="none"/>
        </w:rPr>
        <w:t xml:space="preserve">Pearson’s rank correlation: 0.047 (between the average annual temperature and Beech radial growth) - very weak or no linear relationship. </w:t>
      </w:r>
    </w:p>
    <w:p w:rsidR="001C0D62" w:rsidRDefault="001C0D62">
      <w:pPr>
        <w:pStyle w:val="BodyText"/>
        <w:spacing w:line="360" w:lineRule="auto"/>
        <w:jc w:val="both"/>
        <w:rPr>
          <w:b w:val="0"/>
          <w:sz w:val="22"/>
          <w:u w:val="none"/>
        </w:rPr>
      </w:pPr>
    </w:p>
    <w:p w:rsidR="001C0D62" w:rsidRDefault="001C0D62">
      <w:pPr>
        <w:pStyle w:val="BodyText"/>
        <w:spacing w:line="360" w:lineRule="auto"/>
        <w:jc w:val="both"/>
        <w:rPr>
          <w:b w:val="0"/>
          <w:sz w:val="24"/>
          <w:u w:val="none"/>
        </w:rPr>
      </w:pPr>
      <w:r>
        <w:rPr>
          <w:b w:val="0"/>
          <w:sz w:val="24"/>
          <w:u w:val="none"/>
        </w:rPr>
        <w:t xml:space="preserve">P-value: 0.773 (there is no significant relationship between the two variables). </w:t>
      </w:r>
    </w:p>
    <w:p w:rsidR="001C0D62" w:rsidRDefault="001C0D62">
      <w:pPr>
        <w:spacing w:line="360" w:lineRule="auto"/>
        <w:jc w:val="both"/>
        <w:rPr>
          <w:sz w:val="22"/>
        </w:rPr>
      </w:pPr>
    </w:p>
    <w:p w:rsidR="001C0D62" w:rsidRDefault="001C0D62">
      <w:pPr>
        <w:spacing w:line="360" w:lineRule="auto"/>
        <w:jc w:val="both"/>
        <w:rPr>
          <w:rFonts w:ascii="Arial" w:hAnsi="Arial" w:cs="Arial"/>
          <w:lang w:val="en-GB" w:eastAsia="en-GB"/>
        </w:rPr>
      </w:pPr>
      <w:r>
        <w:rPr>
          <w:rFonts w:ascii="Arial" w:hAnsi="Arial" w:cs="Arial"/>
          <w:lang w:val="en-GB" w:eastAsia="en-GB"/>
        </w:rPr>
        <w:t>Null hypothesis: There is no relationship between the annual average temperature levels and the average Beech ring widths.</w:t>
      </w:r>
    </w:p>
    <w:p w:rsidR="001C0D62" w:rsidRDefault="001C0D62">
      <w:pPr>
        <w:pStyle w:val="BodyText"/>
        <w:spacing w:line="360" w:lineRule="auto"/>
        <w:jc w:val="both"/>
        <w:rPr>
          <w:b w:val="0"/>
          <w:sz w:val="24"/>
          <w:u w:val="none"/>
          <w:lang w:val="en-GB" w:eastAsia="en-GB"/>
        </w:rPr>
      </w:pPr>
      <w:r>
        <w:rPr>
          <w:b w:val="0"/>
          <w:sz w:val="24"/>
          <w:u w:val="none"/>
          <w:lang w:val="en-GB" w:eastAsia="en-GB"/>
        </w:rPr>
        <w:t>Alternative hypothesis: There is a relationship between the annual average temperature levels and the average Beech ring widths.</w:t>
      </w:r>
    </w:p>
    <w:p w:rsidR="001C0D62" w:rsidRDefault="001C0D62">
      <w:pPr>
        <w:autoSpaceDE w:val="0"/>
        <w:autoSpaceDN w:val="0"/>
        <w:adjustRightInd w:val="0"/>
        <w:spacing w:line="360" w:lineRule="auto"/>
        <w:jc w:val="both"/>
        <w:rPr>
          <w:rFonts w:ascii="Courier New" w:hAnsi="Courier New" w:cs="Courier New"/>
          <w:sz w:val="22"/>
          <w:lang w:val="en-GB" w:eastAsia="en-GB"/>
        </w:rPr>
      </w:pPr>
    </w:p>
    <w:p w:rsidR="001C0D62" w:rsidRDefault="001C0D62">
      <w:pPr>
        <w:spacing w:line="360" w:lineRule="auto"/>
        <w:rPr>
          <w:rFonts w:ascii="Arial" w:hAnsi="Arial" w:cs="Arial"/>
          <w:i/>
          <w:iCs/>
        </w:rPr>
      </w:pPr>
      <w:r>
        <w:rPr>
          <w:rFonts w:ascii="Arial" w:hAnsi="Arial" w:cs="Arial"/>
          <w:i/>
          <w:iCs/>
        </w:rPr>
        <w:t>The correlation coefficient:</w:t>
      </w:r>
      <w:r>
        <w:rPr>
          <w:rFonts w:ascii="Arial" w:hAnsi="Arial" w:cs="Arial"/>
          <w:i/>
          <w:iCs/>
        </w:rPr>
        <w:br/>
        <w:t>r² = 0.002209 – 0%</w:t>
      </w:r>
    </w:p>
    <w:p w:rsidR="001C0D62" w:rsidRDefault="001C0D62">
      <w:pPr>
        <w:spacing w:line="360" w:lineRule="auto"/>
        <w:jc w:val="both"/>
        <w:rPr>
          <w:rFonts w:ascii="Arial" w:hAnsi="Arial" w:cs="Arial"/>
          <w:i/>
          <w:iCs/>
        </w:rPr>
      </w:pPr>
      <w:r>
        <w:rPr>
          <w:rFonts w:ascii="Arial" w:hAnsi="Arial" w:cs="Arial"/>
          <w:i/>
          <w:iCs/>
        </w:rPr>
        <w:t>0% of the variation in Beech radial growth can be explained by the variation in temperature levels.</w:t>
      </w:r>
    </w:p>
    <w:p w:rsidR="001C0D62" w:rsidRDefault="001C0D62">
      <w:pPr>
        <w:spacing w:line="360" w:lineRule="auto"/>
        <w:jc w:val="both"/>
      </w:pPr>
    </w:p>
    <w:p w:rsidR="001C0D62" w:rsidRDefault="001C0D62">
      <w:pPr>
        <w:pStyle w:val="BodyText"/>
        <w:spacing w:line="360" w:lineRule="auto"/>
        <w:jc w:val="both"/>
        <w:rPr>
          <w:b w:val="0"/>
          <w:sz w:val="24"/>
          <w:u w:val="none"/>
        </w:rPr>
      </w:pPr>
      <w:r>
        <w:rPr>
          <w:b w:val="0"/>
          <w:sz w:val="24"/>
          <w:u w:val="none"/>
        </w:rPr>
        <w:t xml:space="preserve">Critical value: (correlation coefficient: 0.002209) shows no level of significance that would be considered not due to chance (greater than the rejection level of 5%) - Null hypothesis was accepted as no relationship was found. </w:t>
      </w:r>
    </w:p>
    <w:p w:rsidR="001C0D62" w:rsidRDefault="001C0D62">
      <w:pPr>
        <w:spacing w:line="360" w:lineRule="auto"/>
        <w:jc w:val="both"/>
      </w:pPr>
    </w:p>
    <w:p w:rsidR="001C0D62" w:rsidRDefault="001C0D62">
      <w:pPr>
        <w:pStyle w:val="BodyText"/>
        <w:spacing w:line="360" w:lineRule="auto"/>
        <w:jc w:val="both"/>
        <w:rPr>
          <w:b w:val="0"/>
          <w:sz w:val="24"/>
          <w:u w:val="none"/>
        </w:rPr>
      </w:pPr>
      <w:r>
        <w:rPr>
          <w:b w:val="0"/>
          <w:sz w:val="24"/>
          <w:u w:val="none"/>
        </w:rPr>
        <w:t>As the correlation is not significant it suggests that the average annual temperature has little or no effect on Beech radial growth (shown in figure 4.17).</w:t>
      </w:r>
    </w:p>
    <w:p w:rsidR="001C0D62" w:rsidRDefault="001C0D62">
      <w:pPr>
        <w:spacing w:line="360" w:lineRule="auto"/>
        <w:rPr>
          <w:rFonts w:ascii="Arial" w:hAnsi="Arial" w:cs="Arial"/>
          <w:b/>
          <w:bCs/>
          <w:u w:val="single"/>
        </w:rPr>
      </w:pPr>
    </w:p>
    <w:p w:rsidR="001C0D62" w:rsidRDefault="001C0D62">
      <w:pPr>
        <w:spacing w:line="360" w:lineRule="auto"/>
        <w:jc w:val="center"/>
        <w:rPr>
          <w:rFonts w:ascii="Arial" w:hAnsi="Arial" w:cs="Arial"/>
          <w:b/>
          <w:bCs/>
          <w:u w:val="single"/>
        </w:rPr>
      </w:pPr>
    </w:p>
    <w:p w:rsidR="001C0D62" w:rsidRDefault="001C0D62">
      <w:pPr>
        <w:spacing w:line="360" w:lineRule="auto"/>
        <w:jc w:val="center"/>
        <w:rPr>
          <w:rFonts w:ascii="Arial" w:hAnsi="Arial" w:cs="Arial"/>
          <w:b/>
          <w:bCs/>
          <w:u w:val="single"/>
        </w:rPr>
      </w:pPr>
    </w:p>
    <w:p w:rsidR="001C0D62" w:rsidRDefault="001C0D62">
      <w:pPr>
        <w:spacing w:line="360" w:lineRule="auto"/>
        <w:jc w:val="center"/>
        <w:rPr>
          <w:rFonts w:ascii="Arial" w:hAnsi="Arial" w:cs="Arial"/>
          <w:b/>
          <w:bCs/>
          <w:u w:val="single"/>
        </w:rPr>
      </w:pPr>
    </w:p>
    <w:p w:rsidR="001C0D62" w:rsidRDefault="001C0D62">
      <w:pPr>
        <w:spacing w:line="360" w:lineRule="auto"/>
        <w:jc w:val="center"/>
        <w:rPr>
          <w:rFonts w:ascii="Arial" w:hAnsi="Arial" w:cs="Arial"/>
          <w:b/>
          <w:bCs/>
          <w:u w:val="single"/>
        </w:rPr>
      </w:pPr>
    </w:p>
    <w:p w:rsidR="001C0D62" w:rsidRDefault="001C0D62">
      <w:pPr>
        <w:spacing w:line="360" w:lineRule="auto"/>
        <w:jc w:val="center"/>
        <w:rPr>
          <w:rFonts w:ascii="Arial" w:hAnsi="Arial" w:cs="Arial"/>
          <w:b/>
          <w:bCs/>
          <w:u w:val="single"/>
        </w:rPr>
      </w:pPr>
      <w:r>
        <w:rPr>
          <w:rFonts w:ascii="Arial" w:hAnsi="Arial" w:cs="Arial"/>
          <w:b/>
          <w:bCs/>
          <w:u w:val="single"/>
        </w:rPr>
        <w:t>Figure 4.17: Scatter graph showing the average Beech ring widths (mm) Vs the average annual temperature (ºC)</w:t>
      </w:r>
    </w:p>
    <w:p w:rsidR="001C0D62" w:rsidRDefault="001C0D62">
      <w:pPr>
        <w:pStyle w:val="BodyText"/>
      </w:pPr>
      <w:r>
        <w:object w:dxaOrig="8640" w:dyaOrig="5760">
          <v:shape id="_x0000_i1048" type="#_x0000_t75" style="width:414pt;height:276pt" o:ole="">
            <v:imagedata r:id="rId41" o:title=""/>
          </v:shape>
          <o:OLEObject Type="Embed" ProgID="MtbGraph.Document.16" ShapeID="_x0000_i1048" DrawAspect="Content" ObjectID="_1432030847" r:id="rId42"/>
        </w:object>
      </w:r>
    </w:p>
    <w:p w:rsidR="001C0D62" w:rsidRDefault="001C0D62">
      <w:pPr>
        <w:pStyle w:val="BodyText"/>
        <w:jc w:val="both"/>
      </w:pPr>
    </w:p>
    <w:p w:rsidR="001C0D62" w:rsidRDefault="001C0D62">
      <w:pPr>
        <w:pStyle w:val="BodyText"/>
        <w:jc w:val="both"/>
        <w:rPr>
          <w:b w:val="0"/>
          <w:sz w:val="24"/>
          <w:u w:val="none"/>
        </w:rPr>
      </w:pPr>
    </w:p>
    <w:p w:rsidR="001C0D62" w:rsidRDefault="001C0D62">
      <w:pPr>
        <w:pStyle w:val="BodyText"/>
        <w:spacing w:line="360" w:lineRule="auto"/>
        <w:rPr>
          <w:b w:val="0"/>
          <w:sz w:val="24"/>
          <w:u w:val="none"/>
        </w:rPr>
      </w:pPr>
      <w:r>
        <w:rPr>
          <w:b w:val="0"/>
          <w:sz w:val="24"/>
          <w:u w:val="none"/>
        </w:rPr>
        <w:t>…………………………….</w:t>
      </w:r>
    </w:p>
    <w:p w:rsidR="001C0D62" w:rsidRDefault="001C0D62">
      <w:pPr>
        <w:pStyle w:val="BodyText"/>
        <w:spacing w:line="360" w:lineRule="auto"/>
        <w:jc w:val="both"/>
        <w:rPr>
          <w:b w:val="0"/>
          <w:sz w:val="24"/>
          <w:u w:val="none"/>
        </w:rPr>
      </w:pPr>
    </w:p>
    <w:p w:rsidR="001C0D62" w:rsidRDefault="001C0D62">
      <w:pPr>
        <w:pStyle w:val="BodyText"/>
        <w:spacing w:line="360" w:lineRule="auto"/>
        <w:jc w:val="both"/>
        <w:rPr>
          <w:b w:val="0"/>
          <w:sz w:val="24"/>
          <w:u w:val="none"/>
        </w:rPr>
      </w:pPr>
      <w:r>
        <w:rPr>
          <w:b w:val="0"/>
          <w:sz w:val="24"/>
          <w:u w:val="none"/>
        </w:rPr>
        <w:t>Figure 4.18 shows the average Oak ring widths (mm) against the annual average temperatures for the last 40 years. Again the results appear to be very varied, although as the temperature generally increases from around 1989 onwards, the ring widths do tend to decrease in general. The largest ring width (1.85mm) occurred during 1973, when the temperature was 12ºC. The smallest ring width (1.47mm) occurred during 2005, when the temperature was 12.7ºC (one of the highest temperatures). The highest temperatures all seem to result in the most reduced radial growth, whilst the largest ring widths coincide with temperatures between 11.6ºC and 12.2ºC.</w:t>
      </w:r>
    </w:p>
    <w:p w:rsidR="001C0D62" w:rsidRDefault="001C0D62">
      <w:pPr>
        <w:pStyle w:val="BodyText"/>
      </w:pPr>
    </w:p>
    <w:p w:rsidR="001C0D62" w:rsidRDefault="001C0D62">
      <w:pPr>
        <w:pStyle w:val="BodyText"/>
      </w:pPr>
    </w:p>
    <w:p w:rsidR="001C0D62" w:rsidRDefault="001C0D62">
      <w:pPr>
        <w:pStyle w:val="Heading2"/>
        <w:spacing w:line="360" w:lineRule="auto"/>
        <w:rPr>
          <w:bCs w:val="0"/>
          <w:sz w:val="24"/>
        </w:rPr>
      </w:pPr>
      <w:r>
        <w:rPr>
          <w:bCs w:val="0"/>
          <w:sz w:val="24"/>
        </w:rPr>
        <w:t>Figure 4.18: The annual average temperature (ºC) Vs the average Oak ring widths (mm) between 1972 and 2012)</w:t>
      </w:r>
    </w:p>
    <w:p w:rsidR="001C0D62" w:rsidRDefault="001F31B4">
      <w:pPr>
        <w:pStyle w:val="BodyText"/>
        <w:jc w:val="both"/>
      </w:pPr>
      <w:r>
        <w:rPr>
          <w:noProof/>
          <w:lang w:val="en-GB" w:eastAsia="en-GB"/>
        </w:rPr>
        <w:drawing>
          <wp:inline distT="0" distB="0" distL="0" distR="0">
            <wp:extent cx="5486400" cy="2641600"/>
            <wp:effectExtent l="0" t="0" r="0" b="0"/>
            <wp:docPr id="25" name="Object 2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1C0D62" w:rsidRDefault="001C0D62">
      <w:pPr>
        <w:pStyle w:val="BodyText"/>
        <w:jc w:val="both"/>
      </w:pPr>
    </w:p>
    <w:p w:rsidR="001C0D62" w:rsidRDefault="001C0D62">
      <w:pPr>
        <w:pStyle w:val="BodyText"/>
        <w:spacing w:line="360" w:lineRule="auto"/>
        <w:jc w:val="both"/>
        <w:rPr>
          <w:b w:val="0"/>
          <w:sz w:val="24"/>
          <w:u w:val="none"/>
        </w:rPr>
      </w:pPr>
    </w:p>
    <w:p w:rsidR="001C0D62" w:rsidRDefault="001C0D62">
      <w:pPr>
        <w:pStyle w:val="BodyText"/>
        <w:spacing w:line="360" w:lineRule="auto"/>
        <w:jc w:val="both"/>
        <w:rPr>
          <w:b w:val="0"/>
          <w:sz w:val="24"/>
          <w:u w:val="none"/>
        </w:rPr>
      </w:pPr>
      <w:r>
        <w:rPr>
          <w:b w:val="0"/>
          <w:sz w:val="24"/>
          <w:u w:val="none"/>
        </w:rPr>
        <w:t xml:space="preserve">As normal distribution tests have already been undertaken for the annual average temperature, showing it is normally distributed and Oak radial growth, which is not normally distributed, a Spearman’s rank correlation test will be performed. </w:t>
      </w:r>
    </w:p>
    <w:p w:rsidR="001C0D62" w:rsidRDefault="001C0D62">
      <w:pPr>
        <w:spacing w:line="360" w:lineRule="auto"/>
        <w:jc w:val="both"/>
      </w:pPr>
    </w:p>
    <w:p w:rsidR="001C0D62" w:rsidRDefault="001C0D62">
      <w:pPr>
        <w:pStyle w:val="BodyText"/>
        <w:spacing w:line="360" w:lineRule="auto"/>
        <w:jc w:val="both"/>
        <w:rPr>
          <w:b w:val="0"/>
          <w:bCs w:val="0"/>
          <w:sz w:val="24"/>
          <w:u w:val="none"/>
        </w:rPr>
      </w:pPr>
      <w:r>
        <w:rPr>
          <w:b w:val="0"/>
          <w:bCs w:val="0"/>
          <w:sz w:val="24"/>
          <w:u w:val="none"/>
        </w:rPr>
        <w:t>Spearman’s rank correlation: 0.466 (between the average annual temperature and the Oak average ring widths) - a moderate linear relationship.</w:t>
      </w:r>
    </w:p>
    <w:p w:rsidR="001C0D62" w:rsidRDefault="001C0D62">
      <w:pPr>
        <w:spacing w:line="360" w:lineRule="auto"/>
        <w:jc w:val="both"/>
        <w:rPr>
          <w:rFonts w:ascii="Arial" w:hAnsi="Arial" w:cs="Arial"/>
          <w:lang w:val="en-GB" w:eastAsia="en-GB"/>
        </w:rPr>
      </w:pPr>
    </w:p>
    <w:p w:rsidR="001C0D62" w:rsidRDefault="001C0D62">
      <w:pPr>
        <w:spacing w:line="360" w:lineRule="auto"/>
        <w:jc w:val="both"/>
        <w:rPr>
          <w:rFonts w:ascii="Arial" w:hAnsi="Arial" w:cs="Arial"/>
          <w:lang w:val="en-GB" w:eastAsia="en-GB"/>
        </w:rPr>
      </w:pPr>
      <w:r>
        <w:rPr>
          <w:rFonts w:ascii="Arial" w:hAnsi="Arial" w:cs="Arial"/>
          <w:lang w:val="en-GB" w:eastAsia="en-GB"/>
        </w:rPr>
        <w:t>Null hypothesis: There is no relationship between the annual average temperature levels and the average Oak ring widths.</w:t>
      </w:r>
    </w:p>
    <w:p w:rsidR="001C0D62" w:rsidRDefault="001C0D62">
      <w:pPr>
        <w:pStyle w:val="BodyText"/>
        <w:spacing w:line="360" w:lineRule="auto"/>
        <w:jc w:val="both"/>
        <w:rPr>
          <w:b w:val="0"/>
          <w:sz w:val="24"/>
          <w:u w:val="none"/>
          <w:lang w:val="en-GB" w:eastAsia="en-GB"/>
        </w:rPr>
      </w:pPr>
      <w:r>
        <w:rPr>
          <w:b w:val="0"/>
          <w:sz w:val="24"/>
          <w:u w:val="none"/>
          <w:lang w:val="en-GB" w:eastAsia="en-GB"/>
        </w:rPr>
        <w:t>Alternative hypothesis: There is a relationship between the annual average temperature levels and the average Oak ring widths.</w:t>
      </w:r>
    </w:p>
    <w:p w:rsidR="001C0D62" w:rsidRDefault="001C0D62">
      <w:pPr>
        <w:autoSpaceDE w:val="0"/>
        <w:autoSpaceDN w:val="0"/>
        <w:adjustRightInd w:val="0"/>
        <w:spacing w:line="360" w:lineRule="auto"/>
        <w:rPr>
          <w:rFonts w:ascii="Arial" w:hAnsi="Arial" w:cs="Arial"/>
          <w:i/>
          <w:iCs/>
        </w:rPr>
      </w:pPr>
    </w:p>
    <w:p w:rsidR="001C0D62" w:rsidRDefault="001C0D62">
      <w:pPr>
        <w:autoSpaceDE w:val="0"/>
        <w:autoSpaceDN w:val="0"/>
        <w:adjustRightInd w:val="0"/>
        <w:spacing w:line="360" w:lineRule="auto"/>
        <w:rPr>
          <w:rFonts w:ascii="Arial" w:hAnsi="Arial" w:cs="Arial"/>
          <w:i/>
          <w:iCs/>
          <w:lang w:val="en-GB" w:eastAsia="en-GB"/>
        </w:rPr>
      </w:pPr>
      <w:r>
        <w:rPr>
          <w:rFonts w:ascii="Arial" w:hAnsi="Arial" w:cs="Arial"/>
          <w:i/>
          <w:iCs/>
        </w:rPr>
        <w:t>The correlation coefficient:</w:t>
      </w:r>
      <w:r>
        <w:rPr>
          <w:rFonts w:ascii="Arial" w:hAnsi="Arial" w:cs="Arial"/>
          <w:i/>
          <w:iCs/>
        </w:rPr>
        <w:br/>
        <w:t>r² = 0.217156 – 21%</w:t>
      </w:r>
    </w:p>
    <w:p w:rsidR="001C0D62" w:rsidRDefault="001C0D62">
      <w:pPr>
        <w:spacing w:line="360" w:lineRule="auto"/>
        <w:rPr>
          <w:rFonts w:ascii="Arial" w:hAnsi="Arial" w:cs="Arial"/>
        </w:rPr>
      </w:pPr>
      <w:r>
        <w:rPr>
          <w:rFonts w:ascii="Arial" w:hAnsi="Arial" w:cs="Arial"/>
          <w:i/>
          <w:iCs/>
        </w:rPr>
        <w:t>21% of the variation in Oak radial growth can be explained by the variation in temperature levels.</w:t>
      </w:r>
    </w:p>
    <w:p w:rsidR="001C0D62" w:rsidRDefault="001C0D62">
      <w:pPr>
        <w:pStyle w:val="BodyText"/>
        <w:spacing w:line="360" w:lineRule="auto"/>
        <w:jc w:val="both"/>
        <w:rPr>
          <w:b w:val="0"/>
          <w:sz w:val="24"/>
          <w:u w:val="none"/>
        </w:rPr>
      </w:pPr>
      <w:r>
        <w:rPr>
          <w:b w:val="0"/>
          <w:sz w:val="24"/>
          <w:u w:val="none"/>
        </w:rPr>
        <w:t>Critical value: (correlation coefficient: 0.217156) sits between the 98% and 99% significance level that would be considered not due to chance (greater than the rejection level of 5%). As the data has a 98.5% level of significance the alternative hypothesis is accepted as a relationship has been discovered (figure 4.19).</w:t>
      </w:r>
    </w:p>
    <w:p w:rsidR="001C0D62" w:rsidRDefault="001C0D62">
      <w:pPr>
        <w:spacing w:line="360" w:lineRule="auto"/>
        <w:rPr>
          <w:rFonts w:ascii="Arial" w:hAnsi="Arial" w:cs="Arial"/>
        </w:rPr>
      </w:pPr>
    </w:p>
    <w:p w:rsidR="001C0D62" w:rsidRDefault="001C0D62">
      <w:pPr>
        <w:spacing w:line="360" w:lineRule="auto"/>
        <w:rPr>
          <w:rFonts w:ascii="Arial" w:hAnsi="Arial" w:cs="Arial"/>
        </w:rPr>
      </w:pPr>
    </w:p>
    <w:p w:rsidR="001C0D62" w:rsidRDefault="001C0D62">
      <w:pPr>
        <w:pStyle w:val="Heading2"/>
        <w:spacing w:line="360" w:lineRule="auto"/>
        <w:rPr>
          <w:bCs w:val="0"/>
          <w:sz w:val="24"/>
        </w:rPr>
      </w:pPr>
      <w:r>
        <w:rPr>
          <w:bCs w:val="0"/>
          <w:sz w:val="24"/>
        </w:rPr>
        <w:t>Figure 4.19: Scatter graph showing the average Oak ring widths (mm) Vs the average annual temperature (ºC)</w:t>
      </w:r>
    </w:p>
    <w:p w:rsidR="001C0D62" w:rsidRDefault="001C0D62">
      <w:r>
        <w:object w:dxaOrig="8640" w:dyaOrig="5760">
          <v:shape id="_x0000_i1050" type="#_x0000_t75" style="width:6in;height:4in" o:ole="">
            <v:imagedata r:id="rId44" o:title=""/>
          </v:shape>
          <o:OLEObject Type="Embed" ProgID="MtbGraph.Document.16" ShapeID="_x0000_i1050" DrawAspect="Content" ObjectID="_1432030848" r:id="rId45"/>
        </w:object>
      </w:r>
    </w:p>
    <w:p w:rsidR="001C0D62" w:rsidRDefault="001C0D62"/>
    <w:p w:rsidR="001C0D62" w:rsidRDefault="001C0D62"/>
    <w:p w:rsidR="001C0D62" w:rsidRDefault="001C0D62"/>
    <w:p w:rsidR="001C0D62" w:rsidRDefault="001C0D62">
      <w:pPr>
        <w:jc w:val="center"/>
      </w:pPr>
      <w:r>
        <w:t>………………………………………</w:t>
      </w:r>
    </w:p>
    <w:p w:rsidR="001C0D62" w:rsidRDefault="001C0D62"/>
    <w:p w:rsidR="001C0D62" w:rsidRDefault="001C0D62"/>
    <w:p w:rsidR="001C0D62" w:rsidRDefault="001C0D62"/>
    <w:p w:rsidR="001C0D62" w:rsidRDefault="001C0D62"/>
    <w:p w:rsidR="001C0D62" w:rsidRDefault="001C0D62"/>
    <w:p w:rsidR="001C0D62" w:rsidRDefault="001C0D62"/>
    <w:p w:rsidR="001C0D62" w:rsidRDefault="001C0D62"/>
    <w:p w:rsidR="001C0D62" w:rsidRDefault="001C0D62">
      <w:pPr>
        <w:spacing w:line="360" w:lineRule="auto"/>
        <w:rPr>
          <w:rFonts w:ascii="Arial" w:hAnsi="Arial" w:cs="Arial"/>
          <w:b/>
          <w:bCs/>
          <w:sz w:val="26"/>
          <w:u w:val="single"/>
        </w:rPr>
      </w:pPr>
      <w:r>
        <w:rPr>
          <w:rFonts w:ascii="Arial" w:hAnsi="Arial" w:cs="Arial"/>
          <w:b/>
          <w:bCs/>
          <w:sz w:val="26"/>
          <w:u w:val="single"/>
        </w:rPr>
        <w:t>4.4: Other studies</w:t>
      </w:r>
    </w:p>
    <w:p w:rsidR="001C0D62" w:rsidRDefault="001C0D62">
      <w:pPr>
        <w:spacing w:line="360" w:lineRule="auto"/>
        <w:rPr>
          <w:sz w:val="20"/>
        </w:rPr>
      </w:pPr>
    </w:p>
    <w:p w:rsidR="001C0D62" w:rsidRDefault="001C0D62">
      <w:pPr>
        <w:spacing w:line="360" w:lineRule="auto"/>
        <w:jc w:val="both"/>
        <w:rPr>
          <w:rFonts w:ascii="Arial" w:hAnsi="Arial" w:cs="Arial"/>
        </w:rPr>
      </w:pPr>
      <w:r>
        <w:rPr>
          <w:rFonts w:ascii="Arial" w:hAnsi="Arial" w:cs="Arial"/>
        </w:rPr>
        <w:t xml:space="preserve">Appendix G includes all of the raw data for the other studies (Sheffield: table 3, Savernake: table 4 &amp; </w:t>
      </w:r>
      <w:smartTag w:uri="urn:schemas-microsoft-com:office:smarttags" w:element="place">
        <w:r>
          <w:rPr>
            <w:rFonts w:ascii="Arial" w:hAnsi="Arial" w:cs="Arial"/>
          </w:rPr>
          <w:t>East Pomerania</w:t>
        </w:r>
      </w:smartTag>
      <w:r>
        <w:rPr>
          <w:rFonts w:ascii="Arial" w:hAnsi="Arial" w:cs="Arial"/>
        </w:rPr>
        <w:t>: table 5).</w:t>
      </w:r>
    </w:p>
    <w:p w:rsidR="001C0D62" w:rsidRDefault="001C0D62">
      <w:pPr>
        <w:spacing w:line="360" w:lineRule="auto"/>
        <w:rPr>
          <w:rFonts w:ascii="Arial" w:hAnsi="Arial" w:cs="Arial"/>
        </w:rPr>
      </w:pPr>
    </w:p>
    <w:p w:rsidR="001C0D62" w:rsidRDefault="001C0D62">
      <w:pPr>
        <w:pStyle w:val="BodyText"/>
        <w:spacing w:line="360" w:lineRule="auto"/>
        <w:jc w:val="both"/>
        <w:rPr>
          <w:b w:val="0"/>
          <w:sz w:val="24"/>
          <w:u w:val="none"/>
        </w:rPr>
      </w:pPr>
      <w:r>
        <w:rPr>
          <w:b w:val="0"/>
          <w:sz w:val="24"/>
          <w:u w:val="none"/>
        </w:rPr>
        <w:t>N.B. The data sets all cover different overlapping time periods, so the time frame for each comparison has been adjusted to cover the relevant years.</w:t>
      </w:r>
    </w:p>
    <w:p w:rsidR="001C0D62" w:rsidRDefault="001C0D62">
      <w:pPr>
        <w:pStyle w:val="BodyText"/>
        <w:spacing w:line="360" w:lineRule="auto"/>
        <w:jc w:val="both"/>
        <w:rPr>
          <w:b w:val="0"/>
          <w:sz w:val="28"/>
          <w:u w:val="none"/>
        </w:rPr>
      </w:pPr>
    </w:p>
    <w:p w:rsidR="001C0D62" w:rsidRDefault="001C0D62">
      <w:pPr>
        <w:spacing w:line="360" w:lineRule="auto"/>
        <w:rPr>
          <w:rFonts w:ascii="Arial" w:hAnsi="Arial" w:cs="Arial"/>
          <w:b/>
          <w:bCs/>
          <w:u w:val="single"/>
        </w:rPr>
      </w:pPr>
      <w:r>
        <w:rPr>
          <w:rFonts w:ascii="Arial" w:hAnsi="Arial" w:cs="Arial"/>
          <w:b/>
          <w:bCs/>
          <w:u w:val="single"/>
        </w:rPr>
        <w:t xml:space="preserve">4.4A: </w:t>
      </w:r>
      <w:smartTag w:uri="urn:schemas-microsoft-com:office:smarttags" w:element="place">
        <w:r>
          <w:rPr>
            <w:rFonts w:ascii="Arial" w:hAnsi="Arial" w:cs="Arial"/>
            <w:b/>
            <w:bCs/>
            <w:u w:val="single"/>
          </w:rPr>
          <w:t>Sheffield</w:t>
        </w:r>
      </w:smartTag>
    </w:p>
    <w:p w:rsidR="001C0D62" w:rsidRDefault="001C0D62">
      <w:pPr>
        <w:spacing w:line="360" w:lineRule="auto"/>
        <w:rPr>
          <w:rFonts w:ascii="Arial" w:hAnsi="Arial" w:cs="Arial"/>
          <w:b/>
          <w:bCs/>
          <w:u w:val="single"/>
        </w:rPr>
      </w:pPr>
    </w:p>
    <w:p w:rsidR="001C0D62" w:rsidRDefault="001C0D62">
      <w:pPr>
        <w:pStyle w:val="BodyText"/>
        <w:spacing w:line="360" w:lineRule="auto"/>
        <w:jc w:val="both"/>
        <w:rPr>
          <w:b w:val="0"/>
          <w:sz w:val="24"/>
          <w:u w:val="none"/>
        </w:rPr>
      </w:pPr>
      <w:r>
        <w:rPr>
          <w:b w:val="0"/>
          <w:sz w:val="24"/>
          <w:u w:val="none"/>
        </w:rPr>
        <w:t xml:space="preserve">Figure 4.20 shows the average Oak ring widths (mm) from this study against the average Oak ring widths for the </w:t>
      </w:r>
      <w:smartTag w:uri="urn:schemas-microsoft-com:office:smarttags" w:element="place">
        <w:r>
          <w:rPr>
            <w:b w:val="0"/>
            <w:sz w:val="24"/>
            <w:u w:val="none"/>
          </w:rPr>
          <w:t>Sheffield</w:t>
        </w:r>
      </w:smartTag>
      <w:r>
        <w:rPr>
          <w:b w:val="0"/>
          <w:sz w:val="24"/>
          <w:u w:val="none"/>
        </w:rPr>
        <w:t xml:space="preserve"> study between 1972 and 2003. The results do not appear to be linked as they differ so greatly. The data do however have much closer results from 1980 onwards, although they do not follow the same trend. However, from 2000 the results follow each other more closely.</w:t>
      </w:r>
    </w:p>
    <w:p w:rsidR="001C0D62" w:rsidRDefault="001C0D62">
      <w:pPr>
        <w:pStyle w:val="BodyText"/>
        <w:spacing w:line="360" w:lineRule="auto"/>
        <w:jc w:val="both"/>
        <w:rPr>
          <w:b w:val="0"/>
          <w:sz w:val="24"/>
          <w:u w:val="none"/>
        </w:rPr>
      </w:pPr>
    </w:p>
    <w:p w:rsidR="001C0D62" w:rsidRDefault="001C0D62">
      <w:pPr>
        <w:pStyle w:val="Heading2"/>
        <w:spacing w:line="360" w:lineRule="auto"/>
        <w:rPr>
          <w:bCs w:val="0"/>
          <w:sz w:val="24"/>
        </w:rPr>
      </w:pPr>
      <w:r>
        <w:rPr>
          <w:bCs w:val="0"/>
          <w:sz w:val="24"/>
        </w:rPr>
        <w:t xml:space="preserve">Figure 4.20: The annual average Oak ring widths (mm) from Priestley Clough Vs the </w:t>
      </w:r>
      <w:smartTag w:uri="urn:schemas-microsoft-com:office:smarttags" w:element="place">
        <w:r>
          <w:rPr>
            <w:bCs w:val="0"/>
            <w:sz w:val="24"/>
          </w:rPr>
          <w:t>Sheffield</w:t>
        </w:r>
      </w:smartTag>
      <w:r>
        <w:rPr>
          <w:bCs w:val="0"/>
          <w:sz w:val="24"/>
        </w:rPr>
        <w:t xml:space="preserve"> Oak ring widths (mm) between 1972 and 2003</w:t>
      </w:r>
    </w:p>
    <w:p w:rsidR="001C0D62" w:rsidRDefault="001F31B4">
      <w:pPr>
        <w:pStyle w:val="BodyText"/>
      </w:pPr>
      <w:r>
        <w:rPr>
          <w:noProof/>
          <w:lang w:val="en-GB" w:eastAsia="en-GB"/>
        </w:rPr>
        <w:drawing>
          <wp:inline distT="0" distB="0" distL="0" distR="0">
            <wp:extent cx="5486400" cy="2984500"/>
            <wp:effectExtent l="0" t="0" r="0" b="0"/>
            <wp:docPr id="27" name="Object 2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1C0D62" w:rsidRDefault="001C0D62">
      <w:pPr>
        <w:pStyle w:val="BodyText"/>
        <w:jc w:val="both"/>
        <w:rPr>
          <w:b w:val="0"/>
          <w:sz w:val="24"/>
          <w:u w:val="none"/>
        </w:rPr>
      </w:pPr>
    </w:p>
    <w:p w:rsidR="001C0D62" w:rsidRDefault="001C0D62">
      <w:pPr>
        <w:pStyle w:val="BodyText"/>
        <w:spacing w:line="360" w:lineRule="auto"/>
        <w:jc w:val="both"/>
        <w:rPr>
          <w:b w:val="0"/>
          <w:sz w:val="24"/>
          <w:u w:val="none"/>
        </w:rPr>
      </w:pPr>
      <w:r>
        <w:rPr>
          <w:b w:val="0"/>
          <w:sz w:val="24"/>
          <w:u w:val="none"/>
        </w:rPr>
        <w:t xml:space="preserve">As already calculated, the Oaks from this study are not normally distributed. A normality test was undertaken for the other data set. The P-value for the </w:t>
      </w:r>
      <w:smartTag w:uri="urn:schemas-microsoft-com:office:smarttags" w:element="place">
        <w:r>
          <w:rPr>
            <w:b w:val="0"/>
            <w:sz w:val="24"/>
            <w:u w:val="none"/>
          </w:rPr>
          <w:t>Sheffield</w:t>
        </w:r>
      </w:smartTag>
      <w:r>
        <w:rPr>
          <w:b w:val="0"/>
          <w:sz w:val="24"/>
          <w:u w:val="none"/>
        </w:rPr>
        <w:t xml:space="preserve"> data set is 0.337. As this figure is greater than 0.05, it shows that this data set is normally distributed. Therefore, a Spearman’s rank correlation test will be performed. </w:t>
      </w:r>
    </w:p>
    <w:p w:rsidR="001C0D62" w:rsidRDefault="001C0D62">
      <w:pPr>
        <w:pStyle w:val="Footer"/>
        <w:tabs>
          <w:tab w:val="clear" w:pos="4320"/>
          <w:tab w:val="clear" w:pos="8640"/>
        </w:tabs>
        <w:spacing w:line="360" w:lineRule="auto"/>
        <w:rPr>
          <w:rFonts w:ascii="Arial" w:hAnsi="Arial" w:cs="Arial"/>
        </w:rPr>
      </w:pPr>
    </w:p>
    <w:p w:rsidR="001C0D62" w:rsidRDefault="001C0D62">
      <w:pPr>
        <w:spacing w:line="360" w:lineRule="auto"/>
        <w:jc w:val="both"/>
        <w:rPr>
          <w:rFonts w:ascii="Arial" w:hAnsi="Arial" w:cs="Arial"/>
        </w:rPr>
      </w:pPr>
      <w:r>
        <w:rPr>
          <w:rFonts w:ascii="Arial" w:hAnsi="Arial" w:cs="Arial"/>
        </w:rPr>
        <w:t xml:space="preserve">Spearman’s rank correlation: -0.244 (between the average Oak ring widths from this and the </w:t>
      </w:r>
      <w:smartTag w:uri="urn:schemas-microsoft-com:office:smarttags" w:element="place">
        <w:r>
          <w:rPr>
            <w:rFonts w:ascii="Arial" w:hAnsi="Arial" w:cs="Arial"/>
          </w:rPr>
          <w:t>Sheffield</w:t>
        </w:r>
      </w:smartTag>
      <w:r>
        <w:rPr>
          <w:rFonts w:ascii="Arial" w:hAnsi="Arial" w:cs="Arial"/>
        </w:rPr>
        <w:t xml:space="preserve"> study) - Weak linear relationship.</w:t>
      </w:r>
    </w:p>
    <w:p w:rsidR="001C0D62" w:rsidRDefault="001C0D62">
      <w:pPr>
        <w:spacing w:line="360" w:lineRule="auto"/>
        <w:rPr>
          <w:rFonts w:ascii="Arial" w:hAnsi="Arial" w:cs="Arial"/>
        </w:rPr>
      </w:pPr>
    </w:p>
    <w:p w:rsidR="001C0D62" w:rsidRDefault="001C0D62">
      <w:pPr>
        <w:spacing w:line="360" w:lineRule="auto"/>
        <w:jc w:val="both"/>
        <w:rPr>
          <w:rFonts w:ascii="Arial" w:hAnsi="Arial" w:cs="Arial"/>
          <w:lang w:val="en-GB" w:eastAsia="en-GB"/>
        </w:rPr>
      </w:pPr>
      <w:r>
        <w:rPr>
          <w:rFonts w:ascii="Arial" w:hAnsi="Arial" w:cs="Arial"/>
          <w:lang w:val="en-GB" w:eastAsia="en-GB"/>
        </w:rPr>
        <w:t xml:space="preserve">Null hypothesis: There is no relationship between the annual average Oak ring widths from this study and those from the </w:t>
      </w:r>
      <w:smartTag w:uri="urn:schemas-microsoft-com:office:smarttags" w:element="place">
        <w:r>
          <w:rPr>
            <w:rFonts w:ascii="Arial" w:hAnsi="Arial" w:cs="Arial"/>
            <w:lang w:val="en-GB" w:eastAsia="en-GB"/>
          </w:rPr>
          <w:t>Sheffield</w:t>
        </w:r>
      </w:smartTag>
      <w:r>
        <w:rPr>
          <w:rFonts w:ascii="Arial" w:hAnsi="Arial" w:cs="Arial"/>
          <w:lang w:val="en-GB" w:eastAsia="en-GB"/>
        </w:rPr>
        <w:t xml:space="preserve"> study.</w:t>
      </w:r>
    </w:p>
    <w:p w:rsidR="001C0D62" w:rsidRDefault="001C0D62">
      <w:pPr>
        <w:spacing w:line="360" w:lineRule="auto"/>
        <w:jc w:val="both"/>
        <w:rPr>
          <w:rFonts w:ascii="Arial" w:hAnsi="Arial" w:cs="Arial"/>
          <w:lang w:val="en-GB" w:eastAsia="en-GB"/>
        </w:rPr>
      </w:pPr>
      <w:r>
        <w:rPr>
          <w:rFonts w:ascii="Arial" w:hAnsi="Arial" w:cs="Arial"/>
          <w:lang w:val="en-GB" w:eastAsia="en-GB"/>
        </w:rPr>
        <w:t xml:space="preserve">Alternative hypothesis: There is a relationship between the annual average Oak ring widths from this study and those from the </w:t>
      </w:r>
      <w:smartTag w:uri="urn:schemas-microsoft-com:office:smarttags" w:element="place">
        <w:r>
          <w:rPr>
            <w:rFonts w:ascii="Arial" w:hAnsi="Arial" w:cs="Arial"/>
            <w:lang w:val="en-GB" w:eastAsia="en-GB"/>
          </w:rPr>
          <w:t>Sheffield</w:t>
        </w:r>
      </w:smartTag>
      <w:r>
        <w:rPr>
          <w:rFonts w:ascii="Arial" w:hAnsi="Arial" w:cs="Arial"/>
          <w:lang w:val="en-GB" w:eastAsia="en-GB"/>
        </w:rPr>
        <w:t xml:space="preserve"> study.</w:t>
      </w:r>
    </w:p>
    <w:p w:rsidR="001C0D62" w:rsidRDefault="001C0D62">
      <w:pPr>
        <w:spacing w:line="360" w:lineRule="auto"/>
        <w:jc w:val="both"/>
        <w:rPr>
          <w:rFonts w:ascii="Arial" w:hAnsi="Arial" w:cs="Arial"/>
          <w:lang w:val="en-GB" w:eastAsia="en-GB"/>
        </w:rPr>
      </w:pPr>
    </w:p>
    <w:p w:rsidR="001C0D62" w:rsidRDefault="001C0D62">
      <w:pPr>
        <w:pStyle w:val="BodyText3"/>
        <w:spacing w:line="360" w:lineRule="auto"/>
        <w:rPr>
          <w:i/>
          <w:iCs/>
          <w:sz w:val="24"/>
          <w:lang w:val="en-GB" w:eastAsia="en-GB"/>
        </w:rPr>
      </w:pPr>
      <w:r>
        <w:rPr>
          <w:i/>
          <w:iCs/>
          <w:sz w:val="24"/>
        </w:rPr>
        <w:t>The correlation coefficient:</w:t>
      </w:r>
      <w:r>
        <w:rPr>
          <w:i/>
          <w:iCs/>
          <w:sz w:val="24"/>
        </w:rPr>
        <w:br/>
        <w:t>r² = 0.059536 – 5%</w:t>
      </w:r>
    </w:p>
    <w:p w:rsidR="001C0D62" w:rsidRDefault="001C0D62">
      <w:pPr>
        <w:spacing w:line="360" w:lineRule="auto"/>
        <w:rPr>
          <w:rFonts w:ascii="Arial" w:hAnsi="Arial" w:cs="Arial"/>
        </w:rPr>
      </w:pPr>
    </w:p>
    <w:p w:rsidR="001C0D62" w:rsidRDefault="001C0D62">
      <w:pPr>
        <w:pStyle w:val="BodyText"/>
        <w:spacing w:line="360" w:lineRule="auto"/>
        <w:jc w:val="both"/>
        <w:rPr>
          <w:b w:val="0"/>
          <w:sz w:val="24"/>
          <w:u w:val="none"/>
        </w:rPr>
      </w:pPr>
      <w:r>
        <w:rPr>
          <w:b w:val="0"/>
          <w:sz w:val="24"/>
          <w:u w:val="none"/>
        </w:rPr>
        <w:t xml:space="preserve">Critical value: (correlation coefficient: 0.059536) shows no level of significance that would be considered not due to chance (greater than the rejection level of 5%) - Null hypothesis was accepted as no relationship was found. </w:t>
      </w:r>
    </w:p>
    <w:p w:rsidR="001C0D62" w:rsidRDefault="001C0D62">
      <w:pPr>
        <w:pStyle w:val="BodyText"/>
        <w:spacing w:line="360" w:lineRule="auto"/>
        <w:jc w:val="both"/>
        <w:rPr>
          <w:b w:val="0"/>
          <w:sz w:val="24"/>
          <w:u w:val="none"/>
        </w:rPr>
      </w:pPr>
    </w:p>
    <w:p w:rsidR="001C0D62" w:rsidRDefault="001C0D62">
      <w:pPr>
        <w:pStyle w:val="BodyText"/>
        <w:spacing w:line="360" w:lineRule="auto"/>
        <w:jc w:val="both"/>
        <w:rPr>
          <w:b w:val="0"/>
          <w:sz w:val="24"/>
          <w:u w:val="none"/>
        </w:rPr>
      </w:pPr>
      <w:r>
        <w:rPr>
          <w:b w:val="0"/>
          <w:sz w:val="24"/>
          <w:u w:val="none"/>
        </w:rPr>
        <w:t xml:space="preserve">However, this figure (0.059536) sits just outside the 5% line (95% significance), so possibly there could be a relationship between Oak radial growth from this study and the one in </w:t>
      </w:r>
      <w:smartTag w:uri="urn:schemas-microsoft-com:office:smarttags" w:element="place">
        <w:r>
          <w:rPr>
            <w:b w:val="0"/>
            <w:sz w:val="24"/>
            <w:u w:val="none"/>
          </w:rPr>
          <w:t>Sheffield</w:t>
        </w:r>
      </w:smartTag>
      <w:r>
        <w:rPr>
          <w:b w:val="0"/>
          <w:sz w:val="24"/>
          <w:u w:val="none"/>
        </w:rPr>
        <w:t>.</w:t>
      </w:r>
    </w:p>
    <w:p w:rsidR="001C0D62" w:rsidRDefault="001C0D62">
      <w:pPr>
        <w:pStyle w:val="BodyText"/>
        <w:spacing w:line="360" w:lineRule="auto"/>
        <w:jc w:val="both"/>
        <w:rPr>
          <w:b w:val="0"/>
          <w:sz w:val="24"/>
          <w:u w:val="none"/>
        </w:rPr>
      </w:pPr>
    </w:p>
    <w:p w:rsidR="001C0D62" w:rsidRDefault="001C0D62">
      <w:pPr>
        <w:pStyle w:val="BodyText"/>
        <w:spacing w:line="360" w:lineRule="auto"/>
        <w:jc w:val="both"/>
        <w:rPr>
          <w:b w:val="0"/>
          <w:sz w:val="24"/>
          <w:u w:val="none"/>
        </w:rPr>
      </w:pPr>
      <w:r>
        <w:rPr>
          <w:b w:val="0"/>
          <w:sz w:val="24"/>
          <w:u w:val="none"/>
        </w:rPr>
        <w:t xml:space="preserve">However, as the correlation is classed as not being significant, it suggests that the Oak radial growth from this study has little or no relationship with the Oak radial growth from the </w:t>
      </w:r>
      <w:smartTag w:uri="urn:schemas-microsoft-com:office:smarttags" w:element="place">
        <w:r>
          <w:rPr>
            <w:b w:val="0"/>
            <w:sz w:val="24"/>
            <w:u w:val="none"/>
          </w:rPr>
          <w:t>Sheffield</w:t>
        </w:r>
      </w:smartTag>
      <w:r>
        <w:rPr>
          <w:b w:val="0"/>
          <w:sz w:val="24"/>
          <w:u w:val="none"/>
        </w:rPr>
        <w:t xml:space="preserve"> study.</w:t>
      </w:r>
    </w:p>
    <w:p w:rsidR="001C0D62" w:rsidRDefault="001C0D62">
      <w:pPr>
        <w:pStyle w:val="BodyText"/>
        <w:jc w:val="both"/>
        <w:rPr>
          <w:b w:val="0"/>
          <w:sz w:val="24"/>
          <w:u w:val="none"/>
        </w:rPr>
      </w:pPr>
    </w:p>
    <w:p w:rsidR="001C0D62" w:rsidRDefault="001C0D62">
      <w:pPr>
        <w:pStyle w:val="BodyText"/>
        <w:jc w:val="both"/>
      </w:pPr>
    </w:p>
    <w:p w:rsidR="001C0D62" w:rsidRDefault="001C0D62">
      <w:pPr>
        <w:pStyle w:val="BodyText"/>
        <w:jc w:val="both"/>
        <w:rPr>
          <w:b w:val="0"/>
          <w:sz w:val="24"/>
          <w:u w:val="none"/>
        </w:rPr>
      </w:pPr>
    </w:p>
    <w:p w:rsidR="001C0D62" w:rsidRDefault="001C0D62">
      <w:pPr>
        <w:pStyle w:val="BodyText"/>
        <w:jc w:val="both"/>
        <w:rPr>
          <w:b w:val="0"/>
          <w:sz w:val="24"/>
          <w:u w:val="none"/>
        </w:rPr>
      </w:pPr>
    </w:p>
    <w:p w:rsidR="001C0D62" w:rsidRDefault="001C0D62">
      <w:pPr>
        <w:spacing w:line="360" w:lineRule="auto"/>
        <w:rPr>
          <w:rFonts w:ascii="Arial" w:hAnsi="Arial" w:cs="Arial"/>
          <w:b/>
          <w:bCs/>
          <w:u w:val="single"/>
        </w:rPr>
      </w:pPr>
      <w:r>
        <w:rPr>
          <w:rFonts w:ascii="Arial" w:hAnsi="Arial" w:cs="Arial"/>
          <w:b/>
          <w:bCs/>
          <w:u w:val="single"/>
        </w:rPr>
        <w:t xml:space="preserve">4.4B: Savernake </w:t>
      </w:r>
    </w:p>
    <w:p w:rsidR="001C0D62" w:rsidRDefault="001C0D62">
      <w:pPr>
        <w:spacing w:line="360" w:lineRule="auto"/>
        <w:jc w:val="both"/>
        <w:rPr>
          <w:rFonts w:ascii="Arial" w:hAnsi="Arial" w:cs="Arial"/>
        </w:rPr>
      </w:pPr>
      <w:r>
        <w:br/>
      </w:r>
      <w:r>
        <w:rPr>
          <w:rFonts w:ascii="Arial" w:hAnsi="Arial" w:cs="Arial"/>
        </w:rPr>
        <w:t>Figure 4.21 shows the average Oak ring widths (mm) from this study against the average Oak ring widths for the Savernake study between 1972 and 2006. The results differ with the Savernake data being much more varied. However both sets of ring widths generally decrease with time. Although there are what appear to be outliers such as 1976 (where the ring width is just 0.87mm), the results do in places follow much more of a trend, such as from 1999 onwards.</w:t>
      </w:r>
    </w:p>
    <w:p w:rsidR="001C0D62" w:rsidRDefault="001C0D62">
      <w:pPr>
        <w:pStyle w:val="BodyText"/>
        <w:spacing w:line="360" w:lineRule="auto"/>
        <w:jc w:val="left"/>
      </w:pPr>
    </w:p>
    <w:p w:rsidR="001C0D62" w:rsidRDefault="001C0D62">
      <w:pPr>
        <w:pStyle w:val="Heading2"/>
        <w:spacing w:line="360" w:lineRule="auto"/>
        <w:rPr>
          <w:bCs w:val="0"/>
          <w:sz w:val="24"/>
        </w:rPr>
      </w:pPr>
      <w:r>
        <w:rPr>
          <w:bCs w:val="0"/>
          <w:sz w:val="24"/>
        </w:rPr>
        <w:t>Figure 4.21: The annual average Oak ring widths (mm) from Priestley Clough Vs the Savernake Oak ring widths (mm) between 1972 and 2006</w:t>
      </w:r>
    </w:p>
    <w:p w:rsidR="001C0D62" w:rsidRDefault="001F31B4">
      <w:pPr>
        <w:pStyle w:val="BodyText"/>
      </w:pPr>
      <w:r>
        <w:rPr>
          <w:noProof/>
          <w:lang w:val="en-GB" w:eastAsia="en-GB"/>
        </w:rPr>
        <w:drawing>
          <wp:inline distT="0" distB="0" distL="0" distR="0">
            <wp:extent cx="5372100" cy="3048000"/>
            <wp:effectExtent l="0" t="0" r="0" b="0"/>
            <wp:docPr id="28" name="Object 2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1C0D62" w:rsidRDefault="001C0D62">
      <w:pPr>
        <w:pStyle w:val="BodyText"/>
      </w:pP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rPr>
      </w:pPr>
      <w:r>
        <w:rPr>
          <w:rFonts w:ascii="Arial" w:hAnsi="Arial" w:cs="Arial"/>
        </w:rPr>
        <w:t xml:space="preserve">As already calculated, the Oaks from this study are not normally distributed. A normality test was undertaken for the other data set. The P-value for the Savernake data set is 0.226. As this figure is greater than 0.05, it shows that this data set is normally distributed. Therefore, a Spearman’s rank correlation test will be performed. </w:t>
      </w: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rPr>
      </w:pPr>
      <w:r>
        <w:rPr>
          <w:rFonts w:ascii="Arial" w:hAnsi="Arial" w:cs="Arial"/>
        </w:rPr>
        <w:t>Spearman’s rank correlation: 0.350 (between the average Oak ring widths from this and the Savernake study) - weak linear relationship.</w:t>
      </w:r>
    </w:p>
    <w:p w:rsidR="001C0D62" w:rsidRDefault="001C0D62">
      <w:pPr>
        <w:spacing w:line="360" w:lineRule="auto"/>
        <w:rPr>
          <w:rFonts w:ascii="Arial" w:hAnsi="Arial" w:cs="Arial"/>
        </w:rPr>
      </w:pPr>
    </w:p>
    <w:p w:rsidR="001C0D62" w:rsidRDefault="001C0D62">
      <w:pPr>
        <w:spacing w:line="360" w:lineRule="auto"/>
        <w:jc w:val="both"/>
        <w:rPr>
          <w:rFonts w:ascii="Arial" w:hAnsi="Arial" w:cs="Arial"/>
          <w:lang w:val="en-GB" w:eastAsia="en-GB"/>
        </w:rPr>
      </w:pPr>
      <w:r>
        <w:rPr>
          <w:rFonts w:ascii="Arial" w:hAnsi="Arial" w:cs="Arial"/>
          <w:lang w:val="en-GB" w:eastAsia="en-GB"/>
        </w:rPr>
        <w:t>Null hypothesis: There is no relationship between the annual average Oak ring widths from this study and those from the Savernake study.</w:t>
      </w:r>
    </w:p>
    <w:p w:rsidR="001C0D62" w:rsidRDefault="001C0D62">
      <w:pPr>
        <w:spacing w:line="360" w:lineRule="auto"/>
        <w:jc w:val="both"/>
        <w:rPr>
          <w:rFonts w:ascii="Arial" w:hAnsi="Arial" w:cs="Arial"/>
        </w:rPr>
      </w:pPr>
      <w:r>
        <w:rPr>
          <w:rFonts w:ascii="Arial" w:hAnsi="Arial" w:cs="Arial"/>
          <w:lang w:val="en-GB" w:eastAsia="en-GB"/>
        </w:rPr>
        <w:t>Alternative hypothesis: There is a relationship between the annual average Oak ring widths from this study and those from the Savernake study.</w:t>
      </w:r>
    </w:p>
    <w:p w:rsidR="001C0D62" w:rsidRDefault="001C0D62">
      <w:pPr>
        <w:spacing w:line="360" w:lineRule="auto"/>
        <w:rPr>
          <w:rFonts w:ascii="Arial" w:hAnsi="Arial" w:cs="Arial"/>
        </w:rPr>
      </w:pPr>
    </w:p>
    <w:p w:rsidR="001C0D62" w:rsidRDefault="001C0D62">
      <w:pPr>
        <w:autoSpaceDE w:val="0"/>
        <w:autoSpaceDN w:val="0"/>
        <w:adjustRightInd w:val="0"/>
        <w:spacing w:line="360" w:lineRule="auto"/>
        <w:rPr>
          <w:rFonts w:ascii="Arial" w:hAnsi="Arial" w:cs="Arial"/>
          <w:i/>
          <w:iCs/>
          <w:lang w:val="en-GB" w:eastAsia="en-GB"/>
        </w:rPr>
      </w:pPr>
      <w:r>
        <w:rPr>
          <w:rFonts w:ascii="Arial" w:hAnsi="Arial" w:cs="Arial"/>
          <w:i/>
          <w:iCs/>
        </w:rPr>
        <w:t>The correlation coefficient:</w:t>
      </w:r>
      <w:r>
        <w:rPr>
          <w:rFonts w:ascii="Arial" w:hAnsi="Arial" w:cs="Arial"/>
          <w:i/>
          <w:iCs/>
        </w:rPr>
        <w:br/>
        <w:t>r² = 0.1225 – 12%</w:t>
      </w:r>
    </w:p>
    <w:p w:rsidR="001C0D62" w:rsidRDefault="001C0D62">
      <w:pPr>
        <w:spacing w:line="360" w:lineRule="auto"/>
        <w:rPr>
          <w:rFonts w:ascii="Arial" w:hAnsi="Arial" w:cs="Arial"/>
        </w:rPr>
      </w:pPr>
    </w:p>
    <w:p w:rsidR="001C0D62" w:rsidRDefault="001C0D62">
      <w:pPr>
        <w:pStyle w:val="BodyText"/>
        <w:spacing w:line="360" w:lineRule="auto"/>
        <w:jc w:val="both"/>
        <w:rPr>
          <w:b w:val="0"/>
          <w:sz w:val="24"/>
          <w:u w:val="none"/>
        </w:rPr>
      </w:pPr>
      <w:r>
        <w:rPr>
          <w:b w:val="0"/>
          <w:sz w:val="24"/>
          <w:u w:val="none"/>
        </w:rPr>
        <w:t>Critical value: (correlation coefficient: 0.1225) fits between the 95% and 98% levels of significance that would be considered not due to chance (greater than the rejection level of 5%). As the data has a 96% significance level, the alternative hypothesis is accepted as a relationship has been discovered.</w:t>
      </w:r>
    </w:p>
    <w:p w:rsidR="001C0D62" w:rsidRDefault="001C0D62">
      <w:pPr>
        <w:rPr>
          <w:rFonts w:ascii="Arial" w:hAnsi="Arial" w:cs="Arial"/>
        </w:rPr>
      </w:pPr>
    </w:p>
    <w:p w:rsidR="001C0D62" w:rsidRDefault="001C0D62"/>
    <w:p w:rsidR="001C0D62" w:rsidRDefault="001C0D62">
      <w:pPr>
        <w:jc w:val="center"/>
        <w:rPr>
          <w:rFonts w:ascii="Arial" w:hAnsi="Arial" w:cs="Arial"/>
        </w:rPr>
      </w:pPr>
      <w:r>
        <w:rPr>
          <w:rFonts w:ascii="Arial" w:hAnsi="Arial" w:cs="Arial"/>
        </w:rPr>
        <w:t>………………………..</w:t>
      </w:r>
    </w:p>
    <w:p w:rsidR="001C0D62" w:rsidRDefault="001C0D62">
      <w:pPr>
        <w:rPr>
          <w:rFonts w:ascii="Arial" w:hAnsi="Arial" w:cs="Arial"/>
          <w:b/>
          <w:bCs/>
          <w:u w:val="single"/>
        </w:rPr>
      </w:pPr>
    </w:p>
    <w:p w:rsidR="001C0D62" w:rsidRDefault="001C0D62">
      <w:pPr>
        <w:rPr>
          <w:rFonts w:ascii="Arial" w:hAnsi="Arial" w:cs="Arial"/>
          <w:b/>
          <w:bCs/>
          <w:u w:val="single"/>
        </w:rPr>
      </w:pPr>
    </w:p>
    <w:p w:rsidR="001C0D62" w:rsidRDefault="001C0D62">
      <w:pPr>
        <w:rPr>
          <w:rFonts w:ascii="Arial" w:hAnsi="Arial" w:cs="Arial"/>
          <w:b/>
          <w:bCs/>
          <w:u w:val="single"/>
        </w:rPr>
      </w:pPr>
    </w:p>
    <w:p w:rsidR="001C0D62" w:rsidRDefault="001C0D62">
      <w:pPr>
        <w:spacing w:line="360" w:lineRule="auto"/>
        <w:rPr>
          <w:rFonts w:ascii="Arial" w:hAnsi="Arial" w:cs="Arial"/>
          <w:b/>
          <w:bCs/>
          <w:u w:val="single"/>
        </w:rPr>
      </w:pPr>
      <w:r>
        <w:rPr>
          <w:rFonts w:ascii="Arial" w:hAnsi="Arial" w:cs="Arial"/>
          <w:b/>
          <w:bCs/>
          <w:u w:val="single"/>
        </w:rPr>
        <w:t xml:space="preserve">4.4C: </w:t>
      </w:r>
      <w:smartTag w:uri="urn:schemas-microsoft-com:office:smarttags" w:element="place">
        <w:r>
          <w:rPr>
            <w:rFonts w:ascii="Arial" w:hAnsi="Arial" w:cs="Arial"/>
            <w:b/>
            <w:bCs/>
            <w:u w:val="single"/>
          </w:rPr>
          <w:t>East Pomerania</w:t>
        </w:r>
      </w:smartTag>
    </w:p>
    <w:p w:rsidR="001C0D62" w:rsidRDefault="001C0D62">
      <w:pPr>
        <w:spacing w:line="360" w:lineRule="auto"/>
        <w:rPr>
          <w:rFonts w:ascii="Arial" w:hAnsi="Arial" w:cs="Arial"/>
        </w:rPr>
      </w:pPr>
    </w:p>
    <w:p w:rsidR="001C0D62" w:rsidRDefault="001C0D62">
      <w:pPr>
        <w:pStyle w:val="BodyText"/>
        <w:spacing w:line="360" w:lineRule="auto"/>
        <w:jc w:val="both"/>
        <w:rPr>
          <w:b w:val="0"/>
          <w:sz w:val="24"/>
          <w:u w:val="none"/>
        </w:rPr>
      </w:pPr>
      <w:r>
        <w:rPr>
          <w:b w:val="0"/>
          <w:sz w:val="24"/>
          <w:u w:val="none"/>
        </w:rPr>
        <w:t>Figure 4.22 shows the average Oak ring widths (mm) from this study against the average Oak ring widths for the East Pomerania (</w:t>
      </w:r>
      <w:smartTag w:uri="urn:schemas-microsoft-com:office:smarttags" w:element="country-region">
        <w:smartTag w:uri="urn:schemas-microsoft-com:office:smarttags" w:element="place">
          <w:r>
            <w:rPr>
              <w:b w:val="0"/>
              <w:sz w:val="24"/>
              <w:u w:val="none"/>
            </w:rPr>
            <w:t>Poland</w:t>
          </w:r>
        </w:smartTag>
      </w:smartTag>
      <w:r>
        <w:rPr>
          <w:b w:val="0"/>
          <w:sz w:val="24"/>
          <w:u w:val="none"/>
        </w:rPr>
        <w:t xml:space="preserve">) study between 1972 and 1985. Despite the data sets not following each other closely, there are some similarities. The ring widths (in many cases) tend to increase and decrease in similar places. The only year where the </w:t>
      </w:r>
      <w:smartTag w:uri="urn:schemas-microsoft-com:office:smarttags" w:element="place">
        <w:r>
          <w:rPr>
            <w:b w:val="0"/>
            <w:sz w:val="24"/>
            <w:u w:val="none"/>
          </w:rPr>
          <w:t>East Pomerania</w:t>
        </w:r>
      </w:smartTag>
      <w:r>
        <w:rPr>
          <w:b w:val="0"/>
          <w:sz w:val="24"/>
          <w:u w:val="none"/>
        </w:rPr>
        <w:t xml:space="preserve"> ring widths are larger than the ring widths from this study is 1980 (1.77mm compared to 1.71mm for this study). </w:t>
      </w:r>
    </w:p>
    <w:p w:rsidR="001C0D62" w:rsidRDefault="001C0D62">
      <w:pPr>
        <w:pStyle w:val="BodyText"/>
        <w:spacing w:line="360" w:lineRule="auto"/>
      </w:pPr>
    </w:p>
    <w:p w:rsidR="001C0D62" w:rsidRDefault="001C0D62">
      <w:pPr>
        <w:pStyle w:val="Footer"/>
        <w:tabs>
          <w:tab w:val="clear" w:pos="4320"/>
          <w:tab w:val="clear" w:pos="8640"/>
        </w:tabs>
        <w:spacing w:line="360" w:lineRule="auto"/>
        <w:rPr>
          <w:rFonts w:ascii="Arial" w:hAnsi="Arial" w:cs="Arial"/>
        </w:rPr>
      </w:pPr>
    </w:p>
    <w:p w:rsidR="001C0D62" w:rsidRDefault="001C0D62">
      <w:pPr>
        <w:pStyle w:val="Heading2"/>
        <w:spacing w:line="360" w:lineRule="auto"/>
        <w:rPr>
          <w:bCs w:val="0"/>
          <w:sz w:val="24"/>
        </w:rPr>
      </w:pPr>
      <w:r>
        <w:rPr>
          <w:bCs w:val="0"/>
          <w:sz w:val="24"/>
        </w:rPr>
        <w:t xml:space="preserve">Figure 4.22: The annual average Oak ring widths (mm) from Priestley Clough Vs the </w:t>
      </w:r>
      <w:smartTag w:uri="urn:schemas-microsoft-com:office:smarttags" w:element="place">
        <w:r>
          <w:rPr>
            <w:bCs w:val="0"/>
            <w:sz w:val="24"/>
          </w:rPr>
          <w:t>East Pomerania</w:t>
        </w:r>
      </w:smartTag>
      <w:r>
        <w:rPr>
          <w:bCs w:val="0"/>
          <w:sz w:val="24"/>
        </w:rPr>
        <w:t xml:space="preserve"> Oak ring widths (mm) between 1972 and 1985</w:t>
      </w:r>
    </w:p>
    <w:p w:rsidR="001C0D62" w:rsidRDefault="001F31B4">
      <w:pPr>
        <w:jc w:val="center"/>
      </w:pPr>
      <w:r>
        <w:rPr>
          <w:noProof/>
          <w:lang w:val="en-GB" w:eastAsia="en-GB"/>
        </w:rPr>
        <w:drawing>
          <wp:inline distT="0" distB="0" distL="0" distR="0">
            <wp:extent cx="4953000" cy="2908300"/>
            <wp:effectExtent l="0" t="0" r="0" b="0"/>
            <wp:docPr id="29" name="Object 2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1C0D62" w:rsidRDefault="001C0D62">
      <w:pPr>
        <w:jc w:val="center"/>
      </w:pPr>
    </w:p>
    <w:p w:rsidR="001C0D62" w:rsidRDefault="001C0D62">
      <w:pPr>
        <w:pStyle w:val="BodyText"/>
        <w:spacing w:line="360" w:lineRule="auto"/>
        <w:jc w:val="both"/>
        <w:rPr>
          <w:b w:val="0"/>
          <w:sz w:val="16"/>
          <w:u w:val="none"/>
        </w:rPr>
      </w:pPr>
    </w:p>
    <w:p w:rsidR="001C0D62" w:rsidRDefault="001C0D62">
      <w:pPr>
        <w:pStyle w:val="BodyText"/>
        <w:spacing w:line="360" w:lineRule="auto"/>
        <w:jc w:val="both"/>
        <w:rPr>
          <w:b w:val="0"/>
          <w:sz w:val="24"/>
          <w:u w:val="none"/>
        </w:rPr>
      </w:pPr>
      <w:r>
        <w:rPr>
          <w:b w:val="0"/>
          <w:sz w:val="24"/>
          <w:u w:val="none"/>
        </w:rPr>
        <w:t xml:space="preserve">As already calculated the Oaks from this study are not normally distributed. A normality test was undertaken for the other data set. The P-value for the </w:t>
      </w:r>
      <w:smartTag w:uri="urn:schemas-microsoft-com:office:smarttags" w:element="place">
        <w:r>
          <w:rPr>
            <w:b w:val="0"/>
            <w:sz w:val="24"/>
            <w:u w:val="none"/>
          </w:rPr>
          <w:t>East Pomerania</w:t>
        </w:r>
      </w:smartTag>
      <w:r>
        <w:rPr>
          <w:b w:val="0"/>
          <w:sz w:val="24"/>
          <w:u w:val="none"/>
        </w:rPr>
        <w:t xml:space="preserve"> data set is 0.407. As this figure is greater than 0.05, it shows that this data set is normally distributed. Therefore a Spearman’s rank correlation test will be performed. </w:t>
      </w: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rPr>
      </w:pPr>
      <w:r>
        <w:rPr>
          <w:rFonts w:ascii="Arial" w:hAnsi="Arial" w:cs="Arial"/>
        </w:rPr>
        <w:t xml:space="preserve">Spearman’s rank correlation: - 0.275 (between the average Oak ring widths from this and the </w:t>
      </w:r>
      <w:smartTag w:uri="urn:schemas-microsoft-com:office:smarttags" w:element="place">
        <w:r>
          <w:rPr>
            <w:rFonts w:ascii="Arial" w:hAnsi="Arial" w:cs="Arial"/>
          </w:rPr>
          <w:t>East Pomerania</w:t>
        </w:r>
      </w:smartTag>
      <w:r>
        <w:rPr>
          <w:rFonts w:ascii="Arial" w:hAnsi="Arial" w:cs="Arial"/>
        </w:rPr>
        <w:t xml:space="preserve"> study) - weak linear/negative relationship.</w:t>
      </w:r>
    </w:p>
    <w:p w:rsidR="001C0D62" w:rsidRDefault="001C0D62">
      <w:pPr>
        <w:spacing w:line="360" w:lineRule="auto"/>
        <w:rPr>
          <w:rFonts w:ascii="Arial" w:hAnsi="Arial" w:cs="Arial"/>
        </w:rPr>
      </w:pPr>
    </w:p>
    <w:p w:rsidR="001C0D62" w:rsidRDefault="001C0D62">
      <w:pPr>
        <w:spacing w:line="360" w:lineRule="auto"/>
        <w:jc w:val="both"/>
        <w:rPr>
          <w:rFonts w:ascii="Arial" w:hAnsi="Arial" w:cs="Arial"/>
          <w:lang w:val="en-GB" w:eastAsia="en-GB"/>
        </w:rPr>
      </w:pPr>
      <w:r>
        <w:rPr>
          <w:rFonts w:ascii="Arial" w:hAnsi="Arial" w:cs="Arial"/>
          <w:lang w:val="en-GB" w:eastAsia="en-GB"/>
        </w:rPr>
        <w:t xml:space="preserve">Null hypothesis: There is no relationship between the annual average Oak ring widths from this study and those from the </w:t>
      </w:r>
      <w:smartTag w:uri="urn:schemas-microsoft-com:office:smarttags" w:element="place">
        <w:r>
          <w:rPr>
            <w:rFonts w:ascii="Arial" w:hAnsi="Arial" w:cs="Arial"/>
            <w:lang w:val="en-GB" w:eastAsia="en-GB"/>
          </w:rPr>
          <w:t>East Pomerania</w:t>
        </w:r>
      </w:smartTag>
      <w:r>
        <w:rPr>
          <w:rFonts w:ascii="Arial" w:hAnsi="Arial" w:cs="Arial"/>
          <w:lang w:val="en-GB" w:eastAsia="en-GB"/>
        </w:rPr>
        <w:t xml:space="preserve"> study.</w:t>
      </w:r>
    </w:p>
    <w:p w:rsidR="001C0D62" w:rsidRDefault="001C0D62">
      <w:pPr>
        <w:spacing w:line="360" w:lineRule="auto"/>
        <w:rPr>
          <w:rFonts w:ascii="Arial" w:hAnsi="Arial" w:cs="Arial"/>
        </w:rPr>
      </w:pPr>
      <w:r>
        <w:rPr>
          <w:rFonts w:ascii="Arial" w:hAnsi="Arial" w:cs="Arial"/>
          <w:lang w:val="en-GB" w:eastAsia="en-GB"/>
        </w:rPr>
        <w:t xml:space="preserve">Alternative hypothesis: There is a relationship between the annual average Oak ring widths from this study and those from the </w:t>
      </w:r>
      <w:smartTag w:uri="urn:schemas-microsoft-com:office:smarttags" w:element="place">
        <w:r>
          <w:rPr>
            <w:rFonts w:ascii="Arial" w:hAnsi="Arial" w:cs="Arial"/>
            <w:lang w:val="en-GB" w:eastAsia="en-GB"/>
          </w:rPr>
          <w:t>East Pomerania</w:t>
        </w:r>
      </w:smartTag>
      <w:r>
        <w:rPr>
          <w:rFonts w:ascii="Arial" w:hAnsi="Arial" w:cs="Arial"/>
          <w:lang w:val="en-GB" w:eastAsia="en-GB"/>
        </w:rPr>
        <w:t xml:space="preserve"> study.</w:t>
      </w:r>
    </w:p>
    <w:p w:rsidR="001C0D62" w:rsidRDefault="001C0D62">
      <w:pPr>
        <w:autoSpaceDE w:val="0"/>
        <w:autoSpaceDN w:val="0"/>
        <w:adjustRightInd w:val="0"/>
        <w:spacing w:line="360" w:lineRule="auto"/>
        <w:rPr>
          <w:rFonts w:ascii="Arial" w:hAnsi="Arial" w:cs="Arial"/>
          <w:i/>
          <w:iCs/>
          <w:lang w:val="en-GB" w:eastAsia="en-GB"/>
        </w:rPr>
      </w:pPr>
      <w:r>
        <w:rPr>
          <w:rFonts w:ascii="Arial" w:hAnsi="Arial" w:cs="Arial"/>
        </w:rPr>
        <w:br/>
      </w:r>
      <w:r>
        <w:rPr>
          <w:rFonts w:ascii="Arial" w:hAnsi="Arial" w:cs="Arial"/>
          <w:i/>
          <w:iCs/>
        </w:rPr>
        <w:t>The correlation coefficient:</w:t>
      </w:r>
      <w:r>
        <w:rPr>
          <w:rFonts w:ascii="Arial" w:hAnsi="Arial" w:cs="Arial"/>
          <w:i/>
          <w:iCs/>
        </w:rPr>
        <w:br/>
        <w:t>r² = 0.075625 – 7%</w:t>
      </w:r>
    </w:p>
    <w:p w:rsidR="001C0D62" w:rsidRDefault="001C0D62">
      <w:pPr>
        <w:pStyle w:val="BodyText"/>
        <w:spacing w:line="360" w:lineRule="auto"/>
        <w:jc w:val="both"/>
        <w:rPr>
          <w:b w:val="0"/>
          <w:sz w:val="24"/>
          <w:u w:val="none"/>
        </w:rPr>
      </w:pPr>
      <w:r>
        <w:rPr>
          <w:b w:val="0"/>
          <w:sz w:val="24"/>
          <w:u w:val="none"/>
        </w:rPr>
        <w:t xml:space="preserve">Critical value: (correlation coefficient: 0.075625) shows no level of significance that would be considered not due to chance (greater than the rejection level of 5%) - Null hypothesis was accepted as no relationship was found. </w:t>
      </w:r>
    </w:p>
    <w:p w:rsidR="001C0D62" w:rsidRDefault="001C0D62">
      <w:pPr>
        <w:pStyle w:val="BodyText"/>
        <w:spacing w:line="360" w:lineRule="auto"/>
        <w:jc w:val="both"/>
        <w:rPr>
          <w:b w:val="0"/>
          <w:sz w:val="24"/>
          <w:u w:val="none"/>
        </w:rPr>
      </w:pPr>
    </w:p>
    <w:p w:rsidR="001C0D62" w:rsidRDefault="001C0D62">
      <w:pPr>
        <w:pStyle w:val="BodyText"/>
        <w:spacing w:line="360" w:lineRule="auto"/>
        <w:jc w:val="both"/>
        <w:rPr>
          <w:b w:val="0"/>
          <w:sz w:val="24"/>
          <w:u w:val="none"/>
        </w:rPr>
      </w:pPr>
      <w:r>
        <w:rPr>
          <w:b w:val="0"/>
          <w:sz w:val="24"/>
          <w:u w:val="none"/>
        </w:rPr>
        <w:t xml:space="preserve">However, this figure (0.075625) sits just outside the 5% line (95% significance), so there could be a relationship present between Oak radial growth from this study and the one in </w:t>
      </w:r>
      <w:smartTag w:uri="urn:schemas-microsoft-com:office:smarttags" w:element="place">
        <w:r>
          <w:rPr>
            <w:b w:val="0"/>
            <w:sz w:val="24"/>
            <w:u w:val="none"/>
          </w:rPr>
          <w:t>East Pomerania</w:t>
        </w:r>
      </w:smartTag>
      <w:r>
        <w:rPr>
          <w:b w:val="0"/>
          <w:sz w:val="24"/>
          <w:u w:val="none"/>
        </w:rPr>
        <w:t>.</w:t>
      </w:r>
    </w:p>
    <w:p w:rsidR="001C0D62" w:rsidRDefault="001C0D62">
      <w:pPr>
        <w:pStyle w:val="BodyText"/>
        <w:spacing w:line="360" w:lineRule="auto"/>
        <w:jc w:val="both"/>
        <w:rPr>
          <w:b w:val="0"/>
          <w:sz w:val="24"/>
          <w:u w:val="none"/>
        </w:rPr>
      </w:pPr>
    </w:p>
    <w:p w:rsidR="001C0D62" w:rsidRDefault="001C0D62">
      <w:pPr>
        <w:pStyle w:val="BodyText"/>
        <w:spacing w:line="360" w:lineRule="auto"/>
        <w:jc w:val="both"/>
        <w:rPr>
          <w:b w:val="0"/>
          <w:sz w:val="24"/>
          <w:u w:val="none"/>
        </w:rPr>
      </w:pPr>
      <w:r>
        <w:rPr>
          <w:b w:val="0"/>
          <w:sz w:val="24"/>
          <w:u w:val="none"/>
        </w:rPr>
        <w:t xml:space="preserve">Therefore as the correlation is classed as not being significant, it suggests that the Oak radial growth from this study has little or no relationship with the Oak radial growth from the </w:t>
      </w:r>
      <w:smartTag w:uri="urn:schemas-microsoft-com:office:smarttags" w:element="place">
        <w:r>
          <w:rPr>
            <w:b w:val="0"/>
            <w:sz w:val="24"/>
            <w:u w:val="none"/>
          </w:rPr>
          <w:t>East Pomerania</w:t>
        </w:r>
      </w:smartTag>
      <w:r>
        <w:rPr>
          <w:b w:val="0"/>
          <w:sz w:val="24"/>
          <w:u w:val="none"/>
        </w:rPr>
        <w:t xml:space="preserve"> study.</w:t>
      </w:r>
    </w:p>
    <w:p w:rsidR="001C0D62" w:rsidRDefault="001C0D62">
      <w:pPr>
        <w:pStyle w:val="BodyText"/>
        <w:spacing w:line="360" w:lineRule="auto"/>
        <w:jc w:val="both"/>
        <w:rPr>
          <w:b w:val="0"/>
          <w:sz w:val="16"/>
          <w:u w:val="none"/>
        </w:rPr>
      </w:pPr>
    </w:p>
    <w:p w:rsidR="001C0D62" w:rsidRDefault="001C0D62">
      <w:pPr>
        <w:pStyle w:val="BodyText"/>
        <w:rPr>
          <w:b w:val="0"/>
          <w:sz w:val="24"/>
          <w:u w:val="none"/>
        </w:rPr>
      </w:pPr>
      <w:r>
        <w:rPr>
          <w:b w:val="0"/>
          <w:sz w:val="24"/>
          <w:u w:val="none"/>
        </w:rPr>
        <w:t>……………………………………………….</w:t>
      </w:r>
    </w:p>
    <w:p w:rsidR="001C0D62" w:rsidRDefault="001C0D62">
      <w:pPr>
        <w:pStyle w:val="BodyText"/>
        <w:spacing w:line="360" w:lineRule="auto"/>
        <w:jc w:val="both"/>
        <w:rPr>
          <w:b w:val="0"/>
          <w:sz w:val="28"/>
          <w:u w:val="none"/>
        </w:rPr>
      </w:pPr>
    </w:p>
    <w:p w:rsidR="001C0D62" w:rsidRDefault="001C0D62">
      <w:pPr>
        <w:pStyle w:val="BodyText"/>
        <w:spacing w:line="360" w:lineRule="auto"/>
        <w:jc w:val="both"/>
        <w:rPr>
          <w:b w:val="0"/>
          <w:sz w:val="24"/>
          <w:u w:val="none"/>
        </w:rPr>
      </w:pPr>
      <w:r>
        <w:rPr>
          <w:b w:val="0"/>
          <w:sz w:val="24"/>
          <w:u w:val="none"/>
        </w:rPr>
        <w:t>Figure 4.23 shows the average Oak ring widths (mm) from the Sheffield study against the average Oak ring widths for the East Pomerania (</w:t>
      </w:r>
      <w:smartTag w:uri="urn:schemas-microsoft-com:office:smarttags" w:element="country-region">
        <w:smartTag w:uri="urn:schemas-microsoft-com:office:smarttags" w:element="place">
          <w:r>
            <w:rPr>
              <w:b w:val="0"/>
              <w:sz w:val="24"/>
              <w:u w:val="none"/>
            </w:rPr>
            <w:t>Poland</w:t>
          </w:r>
        </w:smartTag>
      </w:smartTag>
      <w:r>
        <w:rPr>
          <w:b w:val="0"/>
          <w:sz w:val="24"/>
          <w:u w:val="none"/>
        </w:rPr>
        <w:t xml:space="preserve">) study between 1972 and 1985. Although the data sets do not follow each other clearly, they do follow a similar pattern in places (especially 1982 onwards). Although the </w:t>
      </w:r>
      <w:smartTag w:uri="urn:schemas-microsoft-com:office:smarttags" w:element="place">
        <w:r>
          <w:rPr>
            <w:b w:val="0"/>
            <w:sz w:val="24"/>
            <w:u w:val="none"/>
          </w:rPr>
          <w:t>Sheffield</w:t>
        </w:r>
      </w:smartTag>
      <w:r>
        <w:rPr>
          <w:b w:val="0"/>
          <w:sz w:val="24"/>
          <w:u w:val="none"/>
        </w:rPr>
        <w:t xml:space="preserve"> data is much more varied, both data sets tend to increase with time.</w:t>
      </w:r>
    </w:p>
    <w:p w:rsidR="001C0D62" w:rsidRDefault="001C0D62">
      <w:pPr>
        <w:pStyle w:val="BodyText"/>
        <w:spacing w:line="360" w:lineRule="auto"/>
        <w:jc w:val="left"/>
        <w:rPr>
          <w:sz w:val="24"/>
        </w:rPr>
      </w:pPr>
    </w:p>
    <w:p w:rsidR="001C0D62" w:rsidRDefault="001C0D62">
      <w:pPr>
        <w:pStyle w:val="Heading2"/>
        <w:spacing w:line="360" w:lineRule="auto"/>
        <w:rPr>
          <w:bCs w:val="0"/>
          <w:sz w:val="24"/>
        </w:rPr>
      </w:pPr>
      <w:r>
        <w:rPr>
          <w:bCs w:val="0"/>
          <w:sz w:val="24"/>
        </w:rPr>
        <w:t xml:space="preserve">Figure 4.23: Oak ring widths (mm) for Sheffield Vs the </w:t>
      </w:r>
      <w:smartTag w:uri="urn:schemas-microsoft-com:office:smarttags" w:element="place">
        <w:r>
          <w:rPr>
            <w:bCs w:val="0"/>
            <w:sz w:val="24"/>
          </w:rPr>
          <w:t>East Pomerania</w:t>
        </w:r>
      </w:smartTag>
      <w:r>
        <w:rPr>
          <w:bCs w:val="0"/>
          <w:sz w:val="24"/>
        </w:rPr>
        <w:t xml:space="preserve"> Oak ring widths (mm) between 1972 and 1985</w:t>
      </w:r>
    </w:p>
    <w:p w:rsidR="001C0D62" w:rsidRDefault="001F31B4">
      <w:pPr>
        <w:pStyle w:val="BodyText"/>
      </w:pPr>
      <w:r>
        <w:rPr>
          <w:noProof/>
          <w:lang w:val="en-GB" w:eastAsia="en-GB"/>
        </w:rPr>
        <w:drawing>
          <wp:inline distT="0" distB="0" distL="0" distR="0">
            <wp:extent cx="4826000" cy="2463800"/>
            <wp:effectExtent l="0" t="0" r="0" b="0"/>
            <wp:docPr id="30" name="Object 3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1C0D62" w:rsidRDefault="001C0D62">
      <w:pPr>
        <w:pStyle w:val="BodyText"/>
        <w:spacing w:line="360" w:lineRule="auto"/>
        <w:jc w:val="both"/>
        <w:rPr>
          <w:b w:val="0"/>
          <w:sz w:val="24"/>
          <w:u w:val="none"/>
        </w:rPr>
      </w:pPr>
      <w:r>
        <w:rPr>
          <w:b w:val="0"/>
          <w:sz w:val="24"/>
          <w:u w:val="none"/>
        </w:rPr>
        <w:t xml:space="preserve">Normality tests have already been undertaken for the average Oak ring widths for the Sheffield and </w:t>
      </w:r>
      <w:smartTag w:uri="urn:schemas-microsoft-com:office:smarttags" w:element="place">
        <w:r>
          <w:rPr>
            <w:b w:val="0"/>
            <w:sz w:val="24"/>
            <w:u w:val="none"/>
          </w:rPr>
          <w:t>East Pomerania</w:t>
        </w:r>
      </w:smartTag>
      <w:r>
        <w:rPr>
          <w:b w:val="0"/>
          <w:sz w:val="24"/>
          <w:u w:val="none"/>
        </w:rPr>
        <w:t xml:space="preserve"> studies. As they are both normally distributed, a Pearson’s rank correlation test can be undertaken. </w:t>
      </w:r>
    </w:p>
    <w:p w:rsidR="001C0D62" w:rsidRDefault="001C0D62">
      <w:pPr>
        <w:spacing w:line="360" w:lineRule="auto"/>
        <w:jc w:val="both"/>
      </w:pPr>
    </w:p>
    <w:p w:rsidR="001C0D62" w:rsidRDefault="001C0D62">
      <w:pPr>
        <w:pStyle w:val="BodyText"/>
        <w:spacing w:line="360" w:lineRule="auto"/>
        <w:jc w:val="both"/>
        <w:rPr>
          <w:b w:val="0"/>
          <w:sz w:val="24"/>
          <w:u w:val="none"/>
        </w:rPr>
      </w:pPr>
      <w:r>
        <w:rPr>
          <w:b w:val="0"/>
          <w:sz w:val="24"/>
          <w:u w:val="none"/>
        </w:rPr>
        <w:t xml:space="preserve">Pearson’s rank correlation: 0.439 (between the average Oak ring widths for the Sheffield and </w:t>
      </w:r>
      <w:smartTag w:uri="urn:schemas-microsoft-com:office:smarttags" w:element="place">
        <w:r>
          <w:rPr>
            <w:b w:val="0"/>
            <w:sz w:val="24"/>
            <w:u w:val="none"/>
          </w:rPr>
          <w:t>East Pomerania</w:t>
        </w:r>
      </w:smartTag>
      <w:r>
        <w:rPr>
          <w:b w:val="0"/>
          <w:sz w:val="24"/>
          <w:u w:val="none"/>
        </w:rPr>
        <w:t xml:space="preserve"> data sets) - moderate linear relationship. </w:t>
      </w:r>
    </w:p>
    <w:p w:rsidR="001C0D62" w:rsidRDefault="001C0D62">
      <w:pPr>
        <w:pStyle w:val="BodyText"/>
        <w:spacing w:line="360" w:lineRule="auto"/>
        <w:jc w:val="both"/>
        <w:rPr>
          <w:b w:val="0"/>
          <w:sz w:val="24"/>
          <w:u w:val="none"/>
        </w:rPr>
      </w:pPr>
    </w:p>
    <w:p w:rsidR="001C0D62" w:rsidRDefault="001C0D62">
      <w:pPr>
        <w:pStyle w:val="BodyText"/>
        <w:spacing w:line="360" w:lineRule="auto"/>
        <w:jc w:val="both"/>
        <w:rPr>
          <w:b w:val="0"/>
          <w:sz w:val="24"/>
          <w:u w:val="none"/>
        </w:rPr>
      </w:pPr>
      <w:r>
        <w:rPr>
          <w:b w:val="0"/>
          <w:sz w:val="24"/>
          <w:u w:val="none"/>
        </w:rPr>
        <w:t xml:space="preserve">P-value: 0.116 (there is no significant correlation between the two variables). </w:t>
      </w:r>
    </w:p>
    <w:p w:rsidR="001C0D62" w:rsidRDefault="001C0D62">
      <w:pPr>
        <w:spacing w:line="360" w:lineRule="auto"/>
        <w:rPr>
          <w:rFonts w:ascii="Arial" w:hAnsi="Arial" w:cs="Arial"/>
        </w:rPr>
      </w:pPr>
    </w:p>
    <w:p w:rsidR="001C0D62" w:rsidRDefault="001C0D62">
      <w:pPr>
        <w:spacing w:line="360" w:lineRule="auto"/>
        <w:jc w:val="both"/>
        <w:rPr>
          <w:rFonts w:ascii="Arial" w:hAnsi="Arial" w:cs="Arial"/>
          <w:lang w:val="en-GB" w:eastAsia="en-GB"/>
        </w:rPr>
      </w:pPr>
      <w:r>
        <w:rPr>
          <w:rFonts w:ascii="Arial" w:hAnsi="Arial" w:cs="Arial"/>
          <w:lang w:val="en-GB" w:eastAsia="en-GB"/>
        </w:rPr>
        <w:t xml:space="preserve">Null hypothesis: There is no relationship between the annual average Oak ring widths from the Sheffield and those from the </w:t>
      </w:r>
      <w:smartTag w:uri="urn:schemas-microsoft-com:office:smarttags" w:element="place">
        <w:r>
          <w:rPr>
            <w:rFonts w:ascii="Arial" w:hAnsi="Arial" w:cs="Arial"/>
            <w:lang w:val="en-GB" w:eastAsia="en-GB"/>
          </w:rPr>
          <w:t>East Pomerania</w:t>
        </w:r>
      </w:smartTag>
      <w:r>
        <w:rPr>
          <w:rFonts w:ascii="Arial" w:hAnsi="Arial" w:cs="Arial"/>
          <w:lang w:val="en-GB" w:eastAsia="en-GB"/>
        </w:rPr>
        <w:t xml:space="preserve"> study.</w:t>
      </w:r>
    </w:p>
    <w:p w:rsidR="001C0D62" w:rsidRDefault="001C0D62">
      <w:pPr>
        <w:spacing w:line="360" w:lineRule="auto"/>
        <w:rPr>
          <w:rFonts w:ascii="Arial" w:hAnsi="Arial" w:cs="Arial"/>
        </w:rPr>
      </w:pPr>
      <w:r>
        <w:rPr>
          <w:rFonts w:ascii="Arial" w:hAnsi="Arial" w:cs="Arial"/>
          <w:lang w:val="en-GB" w:eastAsia="en-GB"/>
        </w:rPr>
        <w:t xml:space="preserve">Alternative hypothesis: There is a relationship between the annual average Oak ring widths from the Sheffield and those from the </w:t>
      </w:r>
      <w:smartTag w:uri="urn:schemas-microsoft-com:office:smarttags" w:element="place">
        <w:r>
          <w:rPr>
            <w:rFonts w:ascii="Arial" w:hAnsi="Arial" w:cs="Arial"/>
            <w:lang w:val="en-GB" w:eastAsia="en-GB"/>
          </w:rPr>
          <w:t>East Pomerania</w:t>
        </w:r>
      </w:smartTag>
      <w:r>
        <w:rPr>
          <w:rFonts w:ascii="Arial" w:hAnsi="Arial" w:cs="Arial"/>
          <w:lang w:val="en-GB" w:eastAsia="en-GB"/>
        </w:rPr>
        <w:t xml:space="preserve"> study.</w:t>
      </w:r>
    </w:p>
    <w:p w:rsidR="001C0D62" w:rsidRDefault="001C0D62">
      <w:pPr>
        <w:spacing w:line="360" w:lineRule="auto"/>
        <w:rPr>
          <w:rFonts w:ascii="Arial" w:hAnsi="Arial" w:cs="Arial"/>
        </w:rPr>
      </w:pPr>
    </w:p>
    <w:p w:rsidR="001C0D62" w:rsidRDefault="001C0D62">
      <w:pPr>
        <w:autoSpaceDE w:val="0"/>
        <w:autoSpaceDN w:val="0"/>
        <w:adjustRightInd w:val="0"/>
        <w:spacing w:line="360" w:lineRule="auto"/>
        <w:rPr>
          <w:rFonts w:ascii="Arial" w:hAnsi="Arial" w:cs="Arial"/>
          <w:i/>
          <w:iCs/>
          <w:lang w:val="en-GB" w:eastAsia="en-GB"/>
        </w:rPr>
      </w:pPr>
      <w:r>
        <w:rPr>
          <w:rFonts w:ascii="Arial" w:hAnsi="Arial" w:cs="Arial"/>
          <w:i/>
          <w:iCs/>
        </w:rPr>
        <w:t>The correlation coefficient:</w:t>
      </w:r>
      <w:r>
        <w:rPr>
          <w:rFonts w:ascii="Arial" w:hAnsi="Arial" w:cs="Arial"/>
          <w:i/>
          <w:iCs/>
        </w:rPr>
        <w:br/>
        <w:t>r² = 0.192721 – 19%</w:t>
      </w:r>
    </w:p>
    <w:p w:rsidR="001C0D62" w:rsidRDefault="001C0D62">
      <w:pPr>
        <w:spacing w:line="360" w:lineRule="auto"/>
        <w:rPr>
          <w:rFonts w:ascii="Arial" w:hAnsi="Arial" w:cs="Arial"/>
        </w:rPr>
      </w:pPr>
    </w:p>
    <w:p w:rsidR="001C0D62" w:rsidRDefault="001C0D62">
      <w:pPr>
        <w:pStyle w:val="BodyText"/>
        <w:spacing w:line="360" w:lineRule="auto"/>
        <w:jc w:val="both"/>
        <w:rPr>
          <w:b w:val="0"/>
          <w:sz w:val="24"/>
          <w:u w:val="none"/>
        </w:rPr>
      </w:pPr>
      <w:r>
        <w:rPr>
          <w:b w:val="0"/>
          <w:sz w:val="24"/>
          <w:u w:val="none"/>
        </w:rPr>
        <w:t>Critical value: (correlation coefficient: 0.192721) fits between the 98% and 99% levels of significance that would be considered not due to chance (greater than the rejection level of 5%). As the data has a 98% significance level, the alternative hypothesis is accepted as a relationship has been discovered.</w:t>
      </w:r>
    </w:p>
    <w:p w:rsidR="001C0D62" w:rsidRDefault="001C0D62">
      <w:pPr>
        <w:jc w:val="both"/>
        <w:rPr>
          <w:rFonts w:ascii="Arial" w:hAnsi="Arial" w:cs="Arial"/>
        </w:rPr>
      </w:pPr>
    </w:p>
    <w:p w:rsidR="001C0D62" w:rsidRDefault="001C0D62">
      <w:pPr>
        <w:jc w:val="both"/>
        <w:rPr>
          <w:rFonts w:ascii="Arial" w:hAnsi="Arial" w:cs="Arial"/>
        </w:rPr>
      </w:pPr>
    </w:p>
    <w:p w:rsidR="001C0D62" w:rsidRDefault="001C0D62">
      <w:pPr>
        <w:jc w:val="center"/>
      </w:pPr>
      <w:r>
        <w:rPr>
          <w:rFonts w:ascii="Arial" w:hAnsi="Arial" w:cs="Arial"/>
        </w:rPr>
        <w:t>……………………………………..</w:t>
      </w:r>
    </w:p>
    <w:p w:rsidR="001C0D62" w:rsidRDefault="001C0D62">
      <w:pPr>
        <w:jc w:val="both"/>
      </w:pPr>
    </w:p>
    <w:p w:rsidR="001C0D62" w:rsidRDefault="001C0D62">
      <w:pPr>
        <w:jc w:val="both"/>
      </w:pPr>
    </w:p>
    <w:p w:rsidR="001C0D62" w:rsidRDefault="001C0D62">
      <w:pPr>
        <w:pStyle w:val="BodyText"/>
        <w:jc w:val="both"/>
        <w:rPr>
          <w:b w:val="0"/>
          <w:sz w:val="24"/>
          <w:u w:val="none"/>
        </w:rPr>
      </w:pPr>
    </w:p>
    <w:p w:rsidR="001C0D62" w:rsidRDefault="001C0D62">
      <w:pPr>
        <w:pStyle w:val="BodyText"/>
        <w:spacing w:line="360" w:lineRule="auto"/>
        <w:jc w:val="both"/>
        <w:rPr>
          <w:b w:val="0"/>
          <w:sz w:val="24"/>
          <w:u w:val="none"/>
        </w:rPr>
      </w:pPr>
      <w:r>
        <w:rPr>
          <w:b w:val="0"/>
          <w:sz w:val="24"/>
          <w:u w:val="none"/>
        </w:rPr>
        <w:t xml:space="preserve">Figure 4.24 shows the average Oak ring widths (mm) from the </w:t>
      </w:r>
      <w:smartTag w:uri="urn:schemas-microsoft-com:office:smarttags" w:element="place">
        <w:r>
          <w:rPr>
            <w:b w:val="0"/>
            <w:sz w:val="24"/>
            <w:u w:val="none"/>
          </w:rPr>
          <w:t>Sheffield</w:t>
        </w:r>
      </w:smartTag>
      <w:r>
        <w:rPr>
          <w:b w:val="0"/>
          <w:sz w:val="24"/>
          <w:u w:val="none"/>
        </w:rPr>
        <w:t xml:space="preserve"> study against the average Oak ring widths for the Savernake study between 1972 and 2003. The data sets follow each other much more closely between these two sets of ring widths. They both tend to increase and decrease when compared with each other. Equally they both see a drop around 1976/77, followed by a sharp increase. They continue to follow each other closely throughout the graph. </w:t>
      </w:r>
    </w:p>
    <w:p w:rsidR="001C0D62" w:rsidRDefault="001C0D62">
      <w:pPr>
        <w:pStyle w:val="BodyText2"/>
        <w:spacing w:line="360" w:lineRule="auto"/>
        <w:jc w:val="center"/>
        <w:rPr>
          <w:b/>
          <w:highlight w:val="yellow"/>
          <w:u w:val="single"/>
        </w:rPr>
      </w:pPr>
      <w:r>
        <w:rPr>
          <w:b/>
          <w:u w:val="single"/>
        </w:rPr>
        <w:t xml:space="preserve">Figure 4.24: Oak ring width (mm) for </w:t>
      </w:r>
      <w:smartTag w:uri="urn:schemas-microsoft-com:office:smarttags" w:element="place">
        <w:r>
          <w:rPr>
            <w:b/>
            <w:u w:val="single"/>
          </w:rPr>
          <w:t>Sheffield</w:t>
        </w:r>
      </w:smartTag>
      <w:r>
        <w:rPr>
          <w:b/>
          <w:u w:val="single"/>
        </w:rPr>
        <w:t xml:space="preserve"> Vs the Savernake Oak ring widths (mm) between 1972 and 2003</w:t>
      </w:r>
    </w:p>
    <w:p w:rsidR="001C0D62" w:rsidRDefault="001F31B4">
      <w:pPr>
        <w:jc w:val="center"/>
      </w:pPr>
      <w:r>
        <w:rPr>
          <w:noProof/>
          <w:lang w:val="en-GB" w:eastAsia="en-GB"/>
        </w:rPr>
        <w:drawing>
          <wp:inline distT="0" distB="0" distL="0" distR="0">
            <wp:extent cx="5537200" cy="2692400"/>
            <wp:effectExtent l="0" t="0" r="0" b="0"/>
            <wp:docPr id="31" name="Object 3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1C0D62" w:rsidRDefault="001C0D62">
      <w:pPr>
        <w:jc w:val="both"/>
      </w:pPr>
    </w:p>
    <w:p w:rsidR="001C0D62" w:rsidRDefault="001C0D62">
      <w:pPr>
        <w:pStyle w:val="BodyText"/>
        <w:spacing w:line="360" w:lineRule="auto"/>
        <w:jc w:val="both"/>
        <w:rPr>
          <w:b w:val="0"/>
          <w:sz w:val="24"/>
          <w:u w:val="none"/>
        </w:rPr>
      </w:pPr>
      <w:r>
        <w:rPr>
          <w:b w:val="0"/>
          <w:sz w:val="24"/>
          <w:u w:val="none"/>
        </w:rPr>
        <w:t xml:space="preserve">Normality tests have already been undertaken for the average Oak ring widths for the </w:t>
      </w:r>
      <w:smartTag w:uri="urn:schemas-microsoft-com:office:smarttags" w:element="place">
        <w:r>
          <w:rPr>
            <w:b w:val="0"/>
            <w:sz w:val="24"/>
            <w:u w:val="none"/>
          </w:rPr>
          <w:t>Sheffield</w:t>
        </w:r>
      </w:smartTag>
      <w:r>
        <w:rPr>
          <w:b w:val="0"/>
          <w:sz w:val="24"/>
          <w:u w:val="none"/>
        </w:rPr>
        <w:t xml:space="preserve"> and Savernake studies. As they are both normally distributed, a Pearson’s rank correlation test can be undertaken. </w:t>
      </w:r>
    </w:p>
    <w:p w:rsidR="001C0D62" w:rsidRDefault="001C0D62">
      <w:pPr>
        <w:spacing w:line="360" w:lineRule="auto"/>
        <w:jc w:val="both"/>
        <w:rPr>
          <w:rFonts w:ascii="Arial" w:hAnsi="Arial" w:cs="Arial"/>
        </w:rPr>
      </w:pPr>
    </w:p>
    <w:p w:rsidR="001C0D62" w:rsidRDefault="001C0D62">
      <w:pPr>
        <w:pStyle w:val="BodyText"/>
        <w:spacing w:line="360" w:lineRule="auto"/>
        <w:jc w:val="both"/>
        <w:rPr>
          <w:b w:val="0"/>
          <w:sz w:val="24"/>
          <w:u w:val="none"/>
        </w:rPr>
      </w:pPr>
      <w:r>
        <w:rPr>
          <w:b w:val="0"/>
          <w:sz w:val="24"/>
          <w:u w:val="none"/>
        </w:rPr>
        <w:t xml:space="preserve">Pearson’s rank correlation: 0.392 (between the average Oak ring widths for </w:t>
      </w:r>
      <w:smartTag w:uri="urn:schemas-microsoft-com:office:smarttags" w:element="place">
        <w:r>
          <w:rPr>
            <w:b w:val="0"/>
            <w:sz w:val="24"/>
            <w:u w:val="none"/>
          </w:rPr>
          <w:t>Sheffield</w:t>
        </w:r>
      </w:smartTag>
      <w:r>
        <w:rPr>
          <w:b w:val="0"/>
          <w:sz w:val="24"/>
          <w:u w:val="none"/>
        </w:rPr>
        <w:t xml:space="preserve"> and Savernake data sets) - a weak linear relationship. </w:t>
      </w:r>
    </w:p>
    <w:p w:rsidR="001C0D62" w:rsidRDefault="001C0D62">
      <w:pPr>
        <w:pStyle w:val="BodyText"/>
        <w:spacing w:line="360" w:lineRule="auto"/>
        <w:jc w:val="both"/>
        <w:rPr>
          <w:b w:val="0"/>
          <w:sz w:val="24"/>
          <w:u w:val="none"/>
        </w:rPr>
      </w:pPr>
    </w:p>
    <w:p w:rsidR="001C0D62" w:rsidRDefault="001C0D62">
      <w:pPr>
        <w:pStyle w:val="BodyText"/>
        <w:spacing w:line="360" w:lineRule="auto"/>
        <w:jc w:val="both"/>
        <w:rPr>
          <w:b w:val="0"/>
          <w:sz w:val="24"/>
          <w:u w:val="none"/>
        </w:rPr>
      </w:pPr>
      <w:r>
        <w:rPr>
          <w:b w:val="0"/>
          <w:sz w:val="24"/>
          <w:u w:val="none"/>
        </w:rPr>
        <w:t>P-value: 0.02 - as it is below 0.05, the alternative hypothesis must be accepted (there is a relationship between the two data sets).</w:t>
      </w:r>
    </w:p>
    <w:p w:rsidR="001C0D62" w:rsidRDefault="001C0D62">
      <w:pPr>
        <w:spacing w:line="360" w:lineRule="auto"/>
        <w:rPr>
          <w:rFonts w:ascii="Arial" w:hAnsi="Arial" w:cs="Arial"/>
        </w:rPr>
      </w:pPr>
    </w:p>
    <w:p w:rsidR="001C0D62" w:rsidRDefault="001C0D62">
      <w:pPr>
        <w:spacing w:line="360" w:lineRule="auto"/>
        <w:jc w:val="both"/>
        <w:rPr>
          <w:rFonts w:ascii="Arial" w:hAnsi="Arial" w:cs="Arial"/>
          <w:lang w:val="en-GB" w:eastAsia="en-GB"/>
        </w:rPr>
      </w:pPr>
      <w:r>
        <w:rPr>
          <w:rFonts w:ascii="Arial" w:hAnsi="Arial" w:cs="Arial"/>
          <w:lang w:val="en-GB" w:eastAsia="en-GB"/>
        </w:rPr>
        <w:t xml:space="preserve">Null hypothesis: There is no relationship between the annual average Oak ring widths from this study and those from the </w:t>
      </w:r>
      <w:smartTag w:uri="urn:schemas-microsoft-com:office:smarttags" w:element="place">
        <w:r>
          <w:rPr>
            <w:rFonts w:ascii="Arial" w:hAnsi="Arial" w:cs="Arial"/>
            <w:lang w:val="en-GB" w:eastAsia="en-GB"/>
          </w:rPr>
          <w:t>East Pomerania</w:t>
        </w:r>
      </w:smartTag>
      <w:r>
        <w:rPr>
          <w:rFonts w:ascii="Arial" w:hAnsi="Arial" w:cs="Arial"/>
          <w:lang w:val="en-GB" w:eastAsia="en-GB"/>
        </w:rPr>
        <w:t xml:space="preserve"> study.</w:t>
      </w:r>
    </w:p>
    <w:p w:rsidR="001C0D62" w:rsidRDefault="001C0D62">
      <w:pPr>
        <w:spacing w:line="360" w:lineRule="auto"/>
        <w:rPr>
          <w:rFonts w:ascii="Arial" w:hAnsi="Arial" w:cs="Arial"/>
        </w:rPr>
      </w:pPr>
      <w:r>
        <w:rPr>
          <w:rFonts w:ascii="Arial" w:hAnsi="Arial" w:cs="Arial"/>
          <w:lang w:val="en-GB" w:eastAsia="en-GB"/>
        </w:rPr>
        <w:t xml:space="preserve">Alternative hypothesis: There is a relationship between the annual average Oak ring widths from this study and those from the </w:t>
      </w:r>
      <w:smartTag w:uri="urn:schemas-microsoft-com:office:smarttags" w:element="place">
        <w:r>
          <w:rPr>
            <w:rFonts w:ascii="Arial" w:hAnsi="Arial" w:cs="Arial"/>
            <w:lang w:val="en-GB" w:eastAsia="en-GB"/>
          </w:rPr>
          <w:t>East Pomerania</w:t>
        </w:r>
      </w:smartTag>
      <w:r>
        <w:rPr>
          <w:rFonts w:ascii="Arial" w:hAnsi="Arial" w:cs="Arial"/>
          <w:lang w:val="en-GB" w:eastAsia="en-GB"/>
        </w:rPr>
        <w:t xml:space="preserve"> study.</w:t>
      </w:r>
    </w:p>
    <w:p w:rsidR="001C0D62" w:rsidRDefault="001C0D62">
      <w:pPr>
        <w:spacing w:line="360" w:lineRule="auto"/>
        <w:rPr>
          <w:rFonts w:ascii="Arial" w:hAnsi="Arial" w:cs="Arial"/>
        </w:rPr>
      </w:pPr>
    </w:p>
    <w:p w:rsidR="001C0D62" w:rsidRDefault="001C0D62">
      <w:pPr>
        <w:pStyle w:val="BodyText3"/>
        <w:spacing w:line="360" w:lineRule="auto"/>
        <w:rPr>
          <w:i/>
          <w:iCs/>
          <w:sz w:val="24"/>
        </w:rPr>
      </w:pPr>
      <w:r>
        <w:rPr>
          <w:i/>
          <w:iCs/>
          <w:sz w:val="24"/>
        </w:rPr>
        <w:t>The correlation coefficient:</w:t>
      </w:r>
      <w:r>
        <w:rPr>
          <w:i/>
          <w:iCs/>
          <w:sz w:val="24"/>
        </w:rPr>
        <w:br/>
        <w:t>r² = 0.153664 – 15%</w:t>
      </w:r>
    </w:p>
    <w:p w:rsidR="001C0D62" w:rsidRDefault="001C0D62">
      <w:pPr>
        <w:pStyle w:val="BodyText"/>
        <w:spacing w:line="360" w:lineRule="auto"/>
        <w:jc w:val="both"/>
        <w:rPr>
          <w:b w:val="0"/>
          <w:sz w:val="24"/>
          <w:u w:val="none"/>
        </w:rPr>
      </w:pPr>
      <w:r>
        <w:rPr>
          <w:b w:val="0"/>
          <w:sz w:val="24"/>
          <w:u w:val="none"/>
        </w:rPr>
        <w:t>Critical value: (correlation coefficient: 0.153664) fits between the 95% and 98% levels of significance that would be considered not due to chance (greater than the rejection level of 5%). As the data has a 97% significance level, the alternative hypothesis is accepted as a relationship has been discovered.</w:t>
      </w:r>
    </w:p>
    <w:p w:rsidR="001C0D62" w:rsidRDefault="001C0D62">
      <w:pPr>
        <w:pStyle w:val="BodyText"/>
        <w:spacing w:line="360" w:lineRule="auto"/>
        <w:jc w:val="both"/>
        <w:rPr>
          <w:b w:val="0"/>
          <w:sz w:val="24"/>
          <w:u w:val="none"/>
        </w:rPr>
      </w:pPr>
    </w:p>
    <w:p w:rsidR="001C0D62" w:rsidRDefault="001C0D62">
      <w:pPr>
        <w:pStyle w:val="BodyText"/>
        <w:spacing w:line="360" w:lineRule="auto"/>
        <w:rPr>
          <w:b w:val="0"/>
          <w:sz w:val="24"/>
          <w:u w:val="none"/>
        </w:rPr>
      </w:pPr>
      <w:r>
        <w:rPr>
          <w:b w:val="0"/>
          <w:sz w:val="24"/>
          <w:u w:val="none"/>
        </w:rPr>
        <w:t>……………………………………….</w:t>
      </w:r>
    </w:p>
    <w:p w:rsidR="001C0D62" w:rsidRDefault="001C0D62">
      <w:pPr>
        <w:rPr>
          <w:rFonts w:ascii="Arial" w:hAnsi="Arial" w:cs="Arial"/>
        </w:rPr>
      </w:pPr>
    </w:p>
    <w:p w:rsidR="001C0D62" w:rsidRDefault="001C0D62">
      <w:pPr>
        <w:rPr>
          <w:rFonts w:ascii="Arial" w:hAnsi="Arial" w:cs="Arial"/>
        </w:rPr>
      </w:pPr>
    </w:p>
    <w:p w:rsidR="001C0D62" w:rsidRDefault="001C0D62">
      <w:pPr>
        <w:rPr>
          <w:rFonts w:ascii="Arial" w:hAnsi="Arial" w:cs="Arial"/>
        </w:rPr>
      </w:pPr>
    </w:p>
    <w:p w:rsidR="001C0D62" w:rsidRDefault="001C0D62">
      <w:pPr>
        <w:pStyle w:val="BodyText"/>
        <w:spacing w:line="360" w:lineRule="auto"/>
        <w:jc w:val="both"/>
        <w:rPr>
          <w:b w:val="0"/>
          <w:sz w:val="24"/>
          <w:u w:val="none"/>
        </w:rPr>
      </w:pPr>
      <w:r>
        <w:rPr>
          <w:b w:val="0"/>
          <w:sz w:val="24"/>
          <w:u w:val="none"/>
        </w:rPr>
        <w:t xml:space="preserve">Figure 4.25 shows the average Oak ring widths (mm) from the Savernake study against the average Oak ring widths for the </w:t>
      </w:r>
      <w:smartTag w:uri="urn:schemas-microsoft-com:office:smarttags" w:element="place">
        <w:r>
          <w:rPr>
            <w:b w:val="0"/>
            <w:sz w:val="24"/>
            <w:u w:val="none"/>
          </w:rPr>
          <w:t>East Pomerania</w:t>
        </w:r>
      </w:smartTag>
      <w:r>
        <w:rPr>
          <w:b w:val="0"/>
          <w:sz w:val="24"/>
          <w:u w:val="none"/>
        </w:rPr>
        <w:t xml:space="preserve"> study between 1972 and 1985. Although the Savernake data is much more varied, both data sets do in certain places coincide with one another. In several places both data sets increase/decrease during more or less the same periods.</w:t>
      </w:r>
    </w:p>
    <w:p w:rsidR="001C0D62" w:rsidRDefault="001C0D62">
      <w:pPr>
        <w:pStyle w:val="BodyText"/>
        <w:spacing w:line="360" w:lineRule="auto"/>
        <w:jc w:val="left"/>
      </w:pPr>
      <w:r>
        <w:t xml:space="preserve"> </w:t>
      </w:r>
    </w:p>
    <w:p w:rsidR="001C0D62" w:rsidRDefault="001C0D62">
      <w:pPr>
        <w:pStyle w:val="Heading2"/>
        <w:spacing w:line="360" w:lineRule="auto"/>
        <w:rPr>
          <w:bCs w:val="0"/>
          <w:sz w:val="24"/>
        </w:rPr>
      </w:pPr>
      <w:r>
        <w:rPr>
          <w:bCs w:val="0"/>
          <w:sz w:val="24"/>
        </w:rPr>
        <w:t xml:space="preserve">Figure 4.25: Oak ring widths (mm) for Savernake Vs the </w:t>
      </w:r>
      <w:smartTag w:uri="urn:schemas-microsoft-com:office:smarttags" w:element="place">
        <w:r>
          <w:rPr>
            <w:bCs w:val="0"/>
            <w:sz w:val="24"/>
          </w:rPr>
          <w:t>East Pomerania</w:t>
        </w:r>
      </w:smartTag>
      <w:r>
        <w:rPr>
          <w:bCs w:val="0"/>
          <w:sz w:val="24"/>
        </w:rPr>
        <w:t xml:space="preserve"> Oak ring widths (mm) between 1972 and 1985</w:t>
      </w:r>
    </w:p>
    <w:p w:rsidR="001C0D62" w:rsidRDefault="001F31B4">
      <w:pPr>
        <w:jc w:val="center"/>
      </w:pPr>
      <w:r>
        <w:rPr>
          <w:noProof/>
          <w:lang w:val="en-GB" w:eastAsia="en-GB"/>
        </w:rPr>
        <w:drawing>
          <wp:inline distT="0" distB="0" distL="0" distR="0">
            <wp:extent cx="5372100" cy="3009900"/>
            <wp:effectExtent l="0" t="0" r="0" b="0"/>
            <wp:docPr id="32" name="Object 3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1C0D62" w:rsidRDefault="001C0D62">
      <w:pPr>
        <w:jc w:val="center"/>
      </w:pPr>
    </w:p>
    <w:p w:rsidR="001C0D62" w:rsidRDefault="001C0D62">
      <w:pPr>
        <w:pStyle w:val="BodyText"/>
        <w:spacing w:line="360" w:lineRule="auto"/>
        <w:jc w:val="both"/>
        <w:rPr>
          <w:b w:val="0"/>
          <w:sz w:val="24"/>
          <w:u w:val="none"/>
        </w:rPr>
      </w:pPr>
    </w:p>
    <w:p w:rsidR="001C0D62" w:rsidRDefault="001C0D62">
      <w:pPr>
        <w:pStyle w:val="BodyText"/>
        <w:spacing w:line="360" w:lineRule="auto"/>
        <w:jc w:val="both"/>
        <w:rPr>
          <w:b w:val="0"/>
          <w:sz w:val="24"/>
          <w:u w:val="none"/>
        </w:rPr>
      </w:pPr>
      <w:r>
        <w:rPr>
          <w:b w:val="0"/>
          <w:sz w:val="24"/>
          <w:u w:val="none"/>
        </w:rPr>
        <w:t xml:space="preserve">Normality tests have already been undertaken for the average Oak ring widths for the Savernake and </w:t>
      </w:r>
      <w:smartTag w:uri="urn:schemas-microsoft-com:office:smarttags" w:element="place">
        <w:r>
          <w:rPr>
            <w:b w:val="0"/>
            <w:sz w:val="24"/>
            <w:u w:val="none"/>
          </w:rPr>
          <w:t>East Pomerania</w:t>
        </w:r>
      </w:smartTag>
      <w:r>
        <w:rPr>
          <w:b w:val="0"/>
          <w:sz w:val="24"/>
          <w:u w:val="none"/>
        </w:rPr>
        <w:t xml:space="preserve"> studies. As they are both normally distributed a Pearson’s rank correlation test can be undertaken. </w:t>
      </w:r>
    </w:p>
    <w:p w:rsidR="001C0D62" w:rsidRDefault="001C0D62">
      <w:pPr>
        <w:spacing w:line="360" w:lineRule="auto"/>
        <w:jc w:val="both"/>
        <w:rPr>
          <w:rFonts w:ascii="Arial" w:hAnsi="Arial" w:cs="Arial"/>
        </w:rPr>
      </w:pPr>
    </w:p>
    <w:p w:rsidR="001C0D62" w:rsidRDefault="001C0D62">
      <w:pPr>
        <w:pStyle w:val="BodyText"/>
        <w:spacing w:line="360" w:lineRule="auto"/>
        <w:jc w:val="both"/>
        <w:rPr>
          <w:b w:val="0"/>
          <w:sz w:val="24"/>
          <w:u w:val="none"/>
        </w:rPr>
      </w:pPr>
      <w:r>
        <w:rPr>
          <w:b w:val="0"/>
          <w:sz w:val="24"/>
          <w:u w:val="none"/>
        </w:rPr>
        <w:t xml:space="preserve">Pearson’s rank correlation: 0.482 (between the average Oak ring widths for Savernake and </w:t>
      </w:r>
      <w:smartTag w:uri="urn:schemas-microsoft-com:office:smarttags" w:element="place">
        <w:r>
          <w:rPr>
            <w:b w:val="0"/>
            <w:sz w:val="24"/>
            <w:u w:val="none"/>
          </w:rPr>
          <w:t>East Pomerania</w:t>
        </w:r>
      </w:smartTag>
      <w:r>
        <w:rPr>
          <w:b w:val="0"/>
          <w:sz w:val="24"/>
          <w:u w:val="none"/>
        </w:rPr>
        <w:t xml:space="preserve"> data sets) - moderate linear relationship. </w:t>
      </w:r>
    </w:p>
    <w:p w:rsidR="001C0D62" w:rsidRDefault="001C0D62">
      <w:pPr>
        <w:pStyle w:val="BodyText"/>
        <w:spacing w:line="360" w:lineRule="auto"/>
        <w:jc w:val="both"/>
        <w:rPr>
          <w:b w:val="0"/>
          <w:sz w:val="24"/>
          <w:u w:val="none"/>
        </w:rPr>
      </w:pPr>
    </w:p>
    <w:p w:rsidR="001C0D62" w:rsidRDefault="001C0D62">
      <w:pPr>
        <w:pStyle w:val="BodyText"/>
        <w:spacing w:line="360" w:lineRule="auto"/>
        <w:jc w:val="both"/>
        <w:rPr>
          <w:b w:val="0"/>
          <w:sz w:val="24"/>
          <w:u w:val="none"/>
        </w:rPr>
      </w:pPr>
      <w:r>
        <w:rPr>
          <w:b w:val="0"/>
          <w:sz w:val="24"/>
          <w:u w:val="none"/>
        </w:rPr>
        <w:t xml:space="preserve">P-value: 0.081 (there is no significant relationship between the two variables). </w:t>
      </w:r>
    </w:p>
    <w:p w:rsidR="001C0D62" w:rsidRDefault="001C0D62">
      <w:pPr>
        <w:spacing w:line="360" w:lineRule="auto"/>
        <w:rPr>
          <w:rFonts w:ascii="Arial" w:hAnsi="Arial" w:cs="Arial"/>
        </w:rPr>
      </w:pPr>
    </w:p>
    <w:p w:rsidR="001C0D62" w:rsidRDefault="001C0D62">
      <w:pPr>
        <w:spacing w:line="360" w:lineRule="auto"/>
        <w:jc w:val="both"/>
        <w:rPr>
          <w:rFonts w:ascii="Arial" w:hAnsi="Arial" w:cs="Arial"/>
          <w:lang w:val="en-GB" w:eastAsia="en-GB"/>
        </w:rPr>
      </w:pPr>
      <w:r>
        <w:rPr>
          <w:rFonts w:ascii="Arial" w:hAnsi="Arial" w:cs="Arial"/>
          <w:lang w:val="en-GB" w:eastAsia="en-GB"/>
        </w:rPr>
        <w:t xml:space="preserve">Null hypothesis: There is no relationship between the annual average Oak ring widths from the Savernake and those from the </w:t>
      </w:r>
      <w:smartTag w:uri="urn:schemas-microsoft-com:office:smarttags" w:element="place">
        <w:r>
          <w:rPr>
            <w:rFonts w:ascii="Arial" w:hAnsi="Arial" w:cs="Arial"/>
            <w:lang w:val="en-GB" w:eastAsia="en-GB"/>
          </w:rPr>
          <w:t>East Pomerania</w:t>
        </w:r>
      </w:smartTag>
      <w:r>
        <w:rPr>
          <w:rFonts w:ascii="Arial" w:hAnsi="Arial" w:cs="Arial"/>
          <w:lang w:val="en-GB" w:eastAsia="en-GB"/>
        </w:rPr>
        <w:t xml:space="preserve"> study.</w:t>
      </w:r>
    </w:p>
    <w:p w:rsidR="001C0D62" w:rsidRDefault="001C0D62">
      <w:pPr>
        <w:spacing w:line="360" w:lineRule="auto"/>
        <w:rPr>
          <w:rFonts w:ascii="Arial" w:hAnsi="Arial" w:cs="Arial"/>
          <w:lang w:val="en-GB" w:eastAsia="en-GB"/>
        </w:rPr>
      </w:pPr>
      <w:r>
        <w:rPr>
          <w:rFonts w:ascii="Arial" w:hAnsi="Arial" w:cs="Arial"/>
          <w:lang w:val="en-GB" w:eastAsia="en-GB"/>
        </w:rPr>
        <w:t xml:space="preserve">Alternative hypothesis: There is a relationship between the annual average Oak ring widths from the Savernake and those from the </w:t>
      </w:r>
      <w:smartTag w:uri="urn:schemas-microsoft-com:office:smarttags" w:element="place">
        <w:r>
          <w:rPr>
            <w:rFonts w:ascii="Arial" w:hAnsi="Arial" w:cs="Arial"/>
            <w:lang w:val="en-GB" w:eastAsia="en-GB"/>
          </w:rPr>
          <w:t>East Pomerania</w:t>
        </w:r>
      </w:smartTag>
      <w:r>
        <w:rPr>
          <w:rFonts w:ascii="Arial" w:hAnsi="Arial" w:cs="Arial"/>
          <w:lang w:val="en-GB" w:eastAsia="en-GB"/>
        </w:rPr>
        <w:t xml:space="preserve"> study.</w:t>
      </w:r>
    </w:p>
    <w:p w:rsidR="001C0D62" w:rsidRDefault="001C0D62">
      <w:pPr>
        <w:spacing w:line="360" w:lineRule="auto"/>
        <w:rPr>
          <w:rFonts w:ascii="Arial" w:hAnsi="Arial" w:cs="Arial"/>
        </w:rPr>
      </w:pPr>
    </w:p>
    <w:p w:rsidR="001C0D62" w:rsidRDefault="001C0D62">
      <w:pPr>
        <w:autoSpaceDE w:val="0"/>
        <w:autoSpaceDN w:val="0"/>
        <w:adjustRightInd w:val="0"/>
        <w:spacing w:line="360" w:lineRule="auto"/>
        <w:rPr>
          <w:rFonts w:ascii="Arial" w:hAnsi="Arial" w:cs="Arial"/>
        </w:rPr>
      </w:pPr>
      <w:r>
        <w:rPr>
          <w:rFonts w:ascii="Arial" w:hAnsi="Arial" w:cs="Arial"/>
          <w:i/>
          <w:iCs/>
        </w:rPr>
        <w:t>The correlation coefficient:</w:t>
      </w:r>
      <w:r>
        <w:rPr>
          <w:rFonts w:ascii="Arial" w:hAnsi="Arial" w:cs="Arial"/>
          <w:i/>
          <w:iCs/>
        </w:rPr>
        <w:br/>
        <w:t>r² = 0.232324 – 23%</w:t>
      </w:r>
    </w:p>
    <w:p w:rsidR="001C0D62" w:rsidRDefault="001C0D62">
      <w:pPr>
        <w:pStyle w:val="BodyText"/>
        <w:spacing w:line="360" w:lineRule="auto"/>
        <w:jc w:val="both"/>
        <w:rPr>
          <w:b w:val="0"/>
          <w:sz w:val="24"/>
          <w:u w:val="none"/>
        </w:rPr>
      </w:pPr>
    </w:p>
    <w:p w:rsidR="001C0D62" w:rsidRDefault="001C0D62">
      <w:pPr>
        <w:pStyle w:val="BodyText"/>
        <w:spacing w:line="360" w:lineRule="auto"/>
        <w:jc w:val="both"/>
        <w:rPr>
          <w:b w:val="0"/>
          <w:sz w:val="24"/>
          <w:u w:val="none"/>
        </w:rPr>
      </w:pPr>
      <w:r>
        <w:rPr>
          <w:b w:val="0"/>
          <w:sz w:val="24"/>
          <w:u w:val="none"/>
        </w:rPr>
        <w:t>Critical value: (correlation coefficient: 0.232324), which shows a high level (99%) significance that would be considered not due to chance (greater than the rejection level of 5%). Therefore the alternative hypothesis is accepted as a relationship has been discovered.</w:t>
      </w:r>
    </w:p>
    <w:p w:rsidR="001C0D62" w:rsidRDefault="001C0D62">
      <w:pPr>
        <w:spacing w:line="360" w:lineRule="auto"/>
        <w:rPr>
          <w:rFonts w:ascii="Arial" w:hAnsi="Arial" w:cs="Arial"/>
        </w:rPr>
      </w:pPr>
    </w:p>
    <w:p w:rsidR="001C0D62" w:rsidRDefault="001C0D62">
      <w:pPr>
        <w:spacing w:line="360" w:lineRule="auto"/>
        <w:jc w:val="both"/>
        <w:rPr>
          <w:rFonts w:ascii="Arial" w:hAnsi="Arial" w:cs="Arial"/>
        </w:rPr>
      </w:pPr>
    </w:p>
    <w:p w:rsidR="001C0D62" w:rsidRDefault="001C0D62">
      <w:pPr>
        <w:jc w:val="center"/>
        <w:rPr>
          <w:rFonts w:ascii="Arial" w:hAnsi="Arial" w:cs="Arial"/>
        </w:rPr>
      </w:pPr>
      <w:r>
        <w:rPr>
          <w:rFonts w:ascii="Arial" w:hAnsi="Arial" w:cs="Arial"/>
        </w:rPr>
        <w:t>……………………….</w:t>
      </w:r>
    </w:p>
    <w:p w:rsidR="001C0D62" w:rsidRDefault="001C0D62">
      <w:pPr>
        <w:jc w:val="both"/>
        <w:rPr>
          <w:rFonts w:ascii="Arial" w:hAnsi="Arial" w:cs="Arial"/>
        </w:rPr>
      </w:pPr>
    </w:p>
    <w:p w:rsidR="001C0D62" w:rsidRDefault="001C0D62">
      <w:pPr>
        <w:jc w:val="center"/>
        <w:rPr>
          <w:rFonts w:ascii="Arial" w:hAnsi="Arial" w:cs="Arial"/>
        </w:rPr>
      </w:pPr>
    </w:p>
    <w:p w:rsidR="001C0D62" w:rsidRDefault="001C0D62">
      <w:pPr>
        <w:jc w:val="both"/>
        <w:rPr>
          <w:rFonts w:ascii="Arial" w:hAnsi="Arial" w:cs="Arial"/>
        </w:rPr>
      </w:pPr>
    </w:p>
    <w:p w:rsidR="001C0D62" w:rsidRDefault="001C0D62">
      <w:pPr>
        <w:pStyle w:val="BodyText"/>
        <w:rPr>
          <w:b w:val="0"/>
          <w:sz w:val="24"/>
          <w:u w:val="none"/>
        </w:rPr>
      </w:pPr>
    </w:p>
    <w:p w:rsidR="001C0D62" w:rsidRDefault="001C0D62">
      <w:pPr>
        <w:jc w:val="both"/>
        <w:rPr>
          <w:rFonts w:ascii="Arial" w:hAnsi="Arial" w:cs="Arial"/>
        </w:rPr>
      </w:pPr>
    </w:p>
    <w:p w:rsidR="001C0D62" w:rsidRDefault="001C0D62">
      <w:pPr>
        <w:pStyle w:val="BodyText"/>
        <w:jc w:val="both"/>
        <w:rPr>
          <w:b w:val="0"/>
          <w:sz w:val="24"/>
          <w:u w:val="none"/>
        </w:rPr>
      </w:pPr>
    </w:p>
    <w:p w:rsidR="001C0D62" w:rsidRDefault="001C0D62">
      <w:pPr>
        <w:rPr>
          <w:rFonts w:ascii="Arial" w:hAnsi="Arial" w:cs="Arial"/>
          <w:bCs/>
        </w:rPr>
      </w:pPr>
    </w:p>
    <w:p w:rsidR="001C0D62" w:rsidRDefault="001C0D62">
      <w:pPr>
        <w:rPr>
          <w:rFonts w:ascii="Arial" w:hAnsi="Arial" w:cs="Arial"/>
          <w:b/>
          <w:bCs/>
          <w:sz w:val="32"/>
          <w:u w:val="single"/>
        </w:rPr>
      </w:pPr>
    </w:p>
    <w:p w:rsidR="001C0D62" w:rsidRDefault="001C0D62">
      <w:pPr>
        <w:jc w:val="center"/>
        <w:rPr>
          <w:rFonts w:ascii="Arial" w:hAnsi="Arial" w:cs="Arial"/>
          <w:b/>
          <w:bCs/>
          <w:sz w:val="32"/>
          <w:u w:val="single"/>
        </w:rPr>
      </w:pPr>
      <w:r>
        <w:rPr>
          <w:rFonts w:ascii="Arial" w:hAnsi="Arial" w:cs="Arial"/>
          <w:b/>
          <w:bCs/>
          <w:sz w:val="32"/>
          <w:u w:val="single"/>
        </w:rPr>
        <w:br/>
      </w:r>
    </w:p>
    <w:p w:rsidR="001C0D62" w:rsidRDefault="001C0D62">
      <w:pPr>
        <w:jc w:val="center"/>
        <w:rPr>
          <w:rFonts w:ascii="Arial" w:hAnsi="Arial" w:cs="Arial"/>
          <w:b/>
          <w:bCs/>
          <w:sz w:val="32"/>
          <w:u w:val="single"/>
        </w:rPr>
      </w:pPr>
      <w:r>
        <w:rPr>
          <w:rFonts w:ascii="Arial" w:hAnsi="Arial" w:cs="Arial"/>
          <w:b/>
          <w:bCs/>
          <w:sz w:val="32"/>
          <w:u w:val="single"/>
        </w:rPr>
        <w:t>Chapter 5.0: Discussion</w:t>
      </w:r>
    </w:p>
    <w:p w:rsidR="001C0D62" w:rsidRDefault="001C0D62">
      <w:pPr>
        <w:rPr>
          <w:rFonts w:ascii="Arial" w:hAnsi="Arial" w:cs="Arial"/>
        </w:rPr>
      </w:pPr>
    </w:p>
    <w:p w:rsidR="001C0D62" w:rsidRDefault="001C0D62">
      <w:pPr>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spacing w:line="360" w:lineRule="auto"/>
        <w:jc w:val="both"/>
        <w:rPr>
          <w:rFonts w:ascii="Arial" w:hAnsi="Arial" w:cs="Arial"/>
        </w:rPr>
      </w:pPr>
      <w:r>
        <w:rPr>
          <w:rFonts w:ascii="Arial" w:hAnsi="Arial" w:cs="Arial"/>
        </w:rPr>
        <w:t>Whilst there are many factors influencing radial growth, careful site selection is key when undertaking research into the climatic effects on radial growth of species, whilst limiting the non-climatic conditions. The main aim of this paper is to determine if the climatic conditions (temperature and precipitation) have an impact upon the radial growth of three species of trees. Collecting 50 samples for each species provides a good sample base to ensure accurate results. Analysing the results in the laboratory assists with determining the impact climate has had on ring growth.</w:t>
      </w:r>
    </w:p>
    <w:p w:rsidR="001C0D62" w:rsidRDefault="001C0D62">
      <w:pPr>
        <w:spacing w:line="360" w:lineRule="auto"/>
        <w:jc w:val="both"/>
        <w:rPr>
          <w:rFonts w:ascii="Arial" w:hAnsi="Arial" w:cs="Arial"/>
        </w:rPr>
      </w:pPr>
    </w:p>
    <w:p w:rsidR="001C0D62" w:rsidRDefault="001C0D62">
      <w:pPr>
        <w:pStyle w:val="BodyText2"/>
        <w:spacing w:line="360" w:lineRule="auto"/>
      </w:pPr>
      <w:r>
        <w:t>As the site history is known along with careful site selection, certain factors can be eliminated from this study such as disease/insect infestation, trees growing on slopes etc. Therefore the results must largely reflect the condition in which the species lived.</w:t>
      </w:r>
    </w:p>
    <w:p w:rsidR="001C0D62" w:rsidRDefault="001C0D62">
      <w:pPr>
        <w:pStyle w:val="BodyText2"/>
        <w:spacing w:line="360" w:lineRule="auto"/>
      </w:pPr>
    </w:p>
    <w:p w:rsidR="001C0D62" w:rsidRDefault="001C0D62">
      <w:pPr>
        <w:pStyle w:val="BodyText2"/>
        <w:spacing w:line="360" w:lineRule="auto"/>
      </w:pPr>
    </w:p>
    <w:p w:rsidR="001C0D62" w:rsidRDefault="001C0D62">
      <w:pPr>
        <w:pStyle w:val="BodyText2"/>
        <w:spacing w:line="360" w:lineRule="auto"/>
        <w:rPr>
          <w:b/>
          <w:sz w:val="26"/>
          <w:szCs w:val="26"/>
          <w:u w:val="single"/>
        </w:rPr>
      </w:pPr>
      <w:r>
        <w:rPr>
          <w:b/>
          <w:sz w:val="26"/>
          <w:szCs w:val="26"/>
          <w:u w:val="single"/>
        </w:rPr>
        <w:t>5.1: Species response at Priestley Clough</w:t>
      </w:r>
    </w:p>
    <w:p w:rsidR="001C0D62" w:rsidRDefault="001C0D62">
      <w:pPr>
        <w:pStyle w:val="BodyText2"/>
        <w:spacing w:line="360" w:lineRule="auto"/>
      </w:pPr>
    </w:p>
    <w:p w:rsidR="001C0D62" w:rsidRDefault="001C0D62">
      <w:pPr>
        <w:spacing w:line="360" w:lineRule="auto"/>
        <w:jc w:val="both"/>
        <w:rPr>
          <w:rFonts w:ascii="Arial" w:hAnsi="Arial" w:cs="Arial"/>
        </w:rPr>
      </w:pPr>
      <w:r>
        <w:rPr>
          <w:rFonts w:ascii="Arial" w:hAnsi="Arial" w:cs="Arial"/>
        </w:rPr>
        <w:t xml:space="preserve">In many cases there is not a clear trend between radial growth and tree age as the results are varied. However, Sycamore radial growth generally decreases for the first 20 years, and then generally increases for the remaining 20 years of this study. When comparing the figures to the precipitation levels, many of the largest ring widths coincide with years of lower precipitation; equally many of the smallest ring widths coincide with years of moderate/high rainfall. These results are not conclusive and statistical analysis suggested that Sycamore radial growth was not related to precipitation. There are however clear peaks throughout the graph when the precipitation remains low. The results tend to indicate that perhaps there is a baseline, where radial growth is high until reaching a certain level where the radial growth is average and then declines with further precipitation. Although this is only partially the case and there are obviously outliers, it appears that low radial growth of 1.52mm – 1.59mm coincides with precipitation levels between 1573.61 and 1656.33. Ring widths of 1.64mm to 1.71mm coincide with moderate precipitation (e.g. 1043.56mm – 1478.5mm), whilst the largest ring widths (1.8mm and over) coincide with low precipitation levels of 995.1mm to 1168.9mm. The results therefore highlight that lower precipitation level result in larger ring widths, with moderate precipitation resulting in moderate growth, whilst large precipitation levels result in reduced growth. The results coincide with Baughman (2010) who suggested too much water can affect growth (Baughman, 2010). However, the results oppose research carried out by Morecroft et al (2008) who suggested growth reduction during dryer periods (Morecroft et al, 2008). Sycamore is also thought to be sensitive to drought (Lemoine et al 2001; Tissier et al 2004). The results from this study indicate lower precipitation levels enhance growth, however, Priestley Clough is situated in an area receiving moderately high levels of precipitation compared with much of the </w:t>
      </w:r>
      <w:smartTag w:uri="urn:schemas-microsoft-com:office:smarttags" w:element="country-region">
        <w:smartTag w:uri="urn:schemas-microsoft-com:office:smarttags" w:element="place">
          <w:r>
            <w:rPr>
              <w:rFonts w:ascii="Arial" w:hAnsi="Arial" w:cs="Arial"/>
            </w:rPr>
            <w:t>U.K.</w:t>
          </w:r>
        </w:smartTag>
      </w:smartTag>
      <w:r>
        <w:rPr>
          <w:rFonts w:ascii="Arial" w:hAnsi="Arial" w:cs="Arial"/>
        </w:rPr>
        <w:t xml:space="preserve"> and even lower levels of rainfall in this area do not result in drought.</w:t>
      </w:r>
    </w:p>
    <w:p w:rsidR="001C0D62" w:rsidRDefault="001C0D62">
      <w:pPr>
        <w:pStyle w:val="BodyText2"/>
        <w:spacing w:line="360" w:lineRule="auto"/>
      </w:pPr>
    </w:p>
    <w:p w:rsidR="001C0D62" w:rsidRDefault="001C0D62">
      <w:pPr>
        <w:spacing w:line="360" w:lineRule="auto"/>
        <w:jc w:val="both"/>
        <w:rPr>
          <w:rFonts w:ascii="Arial" w:hAnsi="Arial" w:cs="Arial"/>
        </w:rPr>
      </w:pPr>
      <w:r>
        <w:rPr>
          <w:rFonts w:ascii="Arial" w:hAnsi="Arial" w:cs="Arial"/>
        </w:rPr>
        <w:t>Equally important, the two largest ring widths (1.84/5mm) occur during 1972/3. Research suggests that trees may produce wider rings with youth (Briffa et al, 2002) so therefore the large radial growth may represent this rather than low-moderate precipitation for those years.</w:t>
      </w:r>
    </w:p>
    <w:p w:rsidR="001C0D62" w:rsidRDefault="001C0D62">
      <w:pPr>
        <w:spacing w:line="360" w:lineRule="auto"/>
        <w:jc w:val="both"/>
        <w:rPr>
          <w:rFonts w:ascii="Arial" w:hAnsi="Arial" w:cs="Arial"/>
        </w:rPr>
      </w:pPr>
    </w:p>
    <w:p w:rsidR="001C0D62" w:rsidRDefault="001C0D62">
      <w:pPr>
        <w:pStyle w:val="BodyText2"/>
        <w:spacing w:line="360" w:lineRule="auto"/>
      </w:pPr>
      <w:r>
        <w:t>Examining the temperature data, Sycamore does appear to have responded to the temperature. Although not clear, various years with lower temperatures coincide with years of enhanced growth, whilst some higher temperatures coincide with years of lower growth. Statistical analysis suggested there was no relationship between radial growth and temperature, however, the level of significance was just outside of the 5% rejection line suggesting that if more samples had been collected, reflecting the results shown, there is a possibility that the data could have proved to be significant and therefore reflected a relationship (although this would probably have remained minimal). This coincides with research carried out by Morecroft et al (2008) whose research implied Sycamore showed minimal responsiveness to temperature (Morecroft et al, 2008). However, the results are not conclusive with other research such as that from a Polish study, where a strong dependence between temperature and ring width was discovered (Bednarz &amp; Ptak, 1990).</w:t>
      </w:r>
    </w:p>
    <w:p w:rsidR="001C0D62" w:rsidRDefault="001C0D62">
      <w:pPr>
        <w:pStyle w:val="BodyText2"/>
        <w:spacing w:line="360" w:lineRule="auto"/>
      </w:pPr>
    </w:p>
    <w:p w:rsidR="001C0D62" w:rsidRDefault="001C0D62">
      <w:pPr>
        <w:pStyle w:val="BodyText2"/>
        <w:spacing w:line="360" w:lineRule="auto"/>
      </w:pPr>
      <w:r>
        <w:t>Beech radial growth showed a general decrease with time; with the largest ring width like Sycamore, occurring in 1973, perhaps due to enhanced growth with youth, or simply good conditions for growth. When compared with the precipitation data, the ring widths remain similar, opposed to the precipitation, which varies quite dramatically. Although some of the larger ring widths occur during years with low precipitation, equally the opposite is true. The results are difficult to interpret but examining the figures, the ring widths below 2mm generally have much higher precipitation levels (e.g. up to 1600mm), whilst the moderate ring widths coincide with precipitation levels up to 1300mm, with the largest ring widths coinciding with years of lower precipitation (e.g. up to 1200mm). However, many results do not fit this assumption as several years with large ring widths occur during years with high precipitation levels. The conflicting differences throughout the data are reflected in the statistical analysis, by the data indicating there is no significant relationship between Beech radial growth and precipitation. This does not coincide with research from various studies, which imply that years with low precipitation levels result in narrow rings (Bouriaud et al 2004; Lebourgeois et al 2005).</w:t>
      </w:r>
    </w:p>
    <w:p w:rsidR="001C0D62" w:rsidRDefault="001C0D62">
      <w:pPr>
        <w:pStyle w:val="BodyText2"/>
        <w:spacing w:line="360" w:lineRule="auto"/>
      </w:pPr>
    </w:p>
    <w:p w:rsidR="001C0D62" w:rsidRDefault="001C0D62">
      <w:pPr>
        <w:pStyle w:val="BodyText2"/>
        <w:spacing w:line="360" w:lineRule="auto"/>
      </w:pPr>
      <w:r>
        <w:t>Comparing the Beech radial growth with the temperature provides further conflicting results as the data is so varied, that it is simply difficult to quantify. A mixture of temperatures result in varied ring widths. The statistical analysis further suggests that there is no relationship between Beech radial growth and temperature. Possibly data from recent years within the study which show a prolonged period of higher temperatures, resulted in the Beech trees becoming more stressed causing a continued decline in ring widths, although this is not perfectly clear. Maxime and Hendrik (2011) suggested that increased temperatures result in increased growth, which does not coincide with this study. However, Augustaitis et al (2012) implied increased temperatures along with decreased precipitation results in reduced radial growth (Augustaitis et al, 2012). This is perhaps true in some cases within this study such as the year 1975, where the temperature rose to 12.5ºC, with a decrease in precipitation to 953.62mm, coinciding with an average ring width of 2.22mm, which is one of the largest ring widths within this study.</w:t>
      </w:r>
    </w:p>
    <w:p w:rsidR="001C0D62" w:rsidRDefault="001C0D62">
      <w:pPr>
        <w:pStyle w:val="BodyText2"/>
        <w:spacing w:line="360" w:lineRule="auto"/>
      </w:pPr>
    </w:p>
    <w:p w:rsidR="001C0D62" w:rsidRDefault="001C0D62">
      <w:pPr>
        <w:spacing w:line="360" w:lineRule="auto"/>
        <w:jc w:val="both"/>
        <w:rPr>
          <w:rFonts w:ascii="Arial" w:hAnsi="Arial" w:cs="Arial"/>
        </w:rPr>
      </w:pPr>
      <w:r>
        <w:rPr>
          <w:rFonts w:ascii="Arial" w:hAnsi="Arial" w:cs="Arial"/>
        </w:rPr>
        <w:t>Oak indicates radial growth decline with time as the largest ring widths occur during 1972/3. Perhaps this could again be due to enhanced growth with youth. When comparing the data to the precipitation levels, there does appear to be a trend. In several cases, the years with the lowest precipitation levels coincide with years of enhanced radial growth. Also, noticeably many of the largest ring widths occur during the first few years during the 1970’s, when the lowest precipitation levels were recorded. However, again the good growth could be due to youth rather than representing the precipitation levels. Equally from 1986 to around 2000, the ring widths do not alter much despite varied precipitation levels, implying that the Oak were not particularly responsive to precipitation. Various studies have suggested that Oak may suffer from water stress, but do not seem to suffer from water excess (Pilcher &amp; Gray 1982; Tree-Ring Services 2012). Bednarz &amp; Ptak (1990) further agree with this as they discovered high precipitation levels increase radial growth, whilst low precipitation levels result in reduced radial growth (Bednarz &amp; Ptak, 1990). This study doesn’t coincide with other findings as some of the largest ring widths occurred during periods of low precipitation. Possibly the precipitation rates were not low enough to result in stress. Equally however, certain years such as 2000 had a reduced ring width of 1.55mm, with a high precipitation level of 1633.7mm. Frisse (1977) looked at Oak and Beech, discovering precipitation played a dominant role in their radial growth, which has not been reflected in this study.</w:t>
      </w:r>
    </w:p>
    <w:p w:rsidR="001C0D62" w:rsidRDefault="001C0D62">
      <w:pPr>
        <w:pStyle w:val="BodyText2"/>
        <w:spacing w:line="360" w:lineRule="auto"/>
      </w:pPr>
    </w:p>
    <w:p w:rsidR="001C0D62" w:rsidRDefault="001C0D62">
      <w:pPr>
        <w:pStyle w:val="BodyText2"/>
        <w:spacing w:line="360" w:lineRule="auto"/>
      </w:pPr>
      <w:r>
        <w:t>A trend can be identified between temperature and Oak ring widths with the largest ring widths generally occurring during years with lower temperatures. In particular the last 20 years, which have had generally higher temperatures, have coincided with a decline in ring widths. Statistical analysis has proved that there is a high level of significance (98.5%) between the data, and therefore there is a relationship. The ring widths for the last 20 years have all stayed at a relatively similar level despite two extremes of 1.47mm and 1.67mm. The temperature has also remained more or less constant throughout this period; perhaps further implying the temperature plays a role in influencing Oak radial growth. This does not coincide with research undertaken by Ermich (1953, 1959) who suggested the growth of Oak is significantly dependent upon precipitation rates, but not by temperature (Ermich 1953, 1959).</w:t>
      </w:r>
    </w:p>
    <w:p w:rsidR="001C0D62" w:rsidRDefault="001C0D62">
      <w:pPr>
        <w:pStyle w:val="BodyText2"/>
        <w:spacing w:line="360" w:lineRule="auto"/>
        <w:rPr>
          <w:sz w:val="22"/>
        </w:rPr>
      </w:pPr>
    </w:p>
    <w:p w:rsidR="001C0D62" w:rsidRDefault="001C0D62">
      <w:pPr>
        <w:spacing w:line="360" w:lineRule="auto"/>
        <w:jc w:val="both"/>
        <w:rPr>
          <w:rFonts w:ascii="Arial" w:hAnsi="Arial" w:cs="Arial"/>
        </w:rPr>
      </w:pPr>
      <w:r>
        <w:rPr>
          <w:rFonts w:ascii="Arial" w:hAnsi="Arial" w:cs="Arial"/>
        </w:rPr>
        <w:t xml:space="preserve">General research tends to imply that ring width variation is linked more closely to precipitation than temperature (Fritts 1965), in addition to Coder and Warnell (1999) also suggesting the importance of precipitation as they believe water is the most limiting ecological resource for many trees (Coder &amp; Warnell, 1999). This however, does not coincide with this study, which suggests that perhaps the opposite is true. Way and Oren (2010) suggest increased temperatures increase radial growth, which does not particularly coincide with any of the species within this study (Way &amp; Oren, 2010). </w:t>
      </w:r>
    </w:p>
    <w:p w:rsidR="001C0D62" w:rsidRDefault="001C0D62">
      <w:pPr>
        <w:spacing w:line="360" w:lineRule="auto"/>
        <w:jc w:val="both"/>
        <w:rPr>
          <w:rFonts w:ascii="Arial" w:hAnsi="Arial" w:cs="Arial"/>
          <w:sz w:val="22"/>
        </w:rPr>
      </w:pPr>
    </w:p>
    <w:p w:rsidR="001C0D62" w:rsidRDefault="001C0D62">
      <w:pPr>
        <w:spacing w:line="360" w:lineRule="auto"/>
        <w:jc w:val="both"/>
        <w:rPr>
          <w:rFonts w:ascii="Arial" w:hAnsi="Arial" w:cs="Arial"/>
        </w:rPr>
      </w:pPr>
      <w:r>
        <w:rPr>
          <w:rFonts w:ascii="Arial" w:hAnsi="Arial" w:cs="Arial"/>
        </w:rPr>
        <w:t>Zweifel et al (2006) believes that radial growth rates are mainly determined by the conditions during the year of growth, which in some cases is possibly true for this study. Equally, it appears that prolonged periods of high temperatures for example may continuously affect the following years growth.</w:t>
      </w:r>
    </w:p>
    <w:p w:rsidR="001C0D62" w:rsidRDefault="001C0D62">
      <w:pPr>
        <w:spacing w:line="360" w:lineRule="auto"/>
        <w:jc w:val="both"/>
        <w:rPr>
          <w:rFonts w:ascii="Arial" w:hAnsi="Arial" w:cs="Arial"/>
          <w:sz w:val="22"/>
        </w:rPr>
      </w:pPr>
    </w:p>
    <w:p w:rsidR="001C0D62" w:rsidRDefault="001C0D62">
      <w:pPr>
        <w:spacing w:line="360" w:lineRule="auto"/>
        <w:jc w:val="both"/>
        <w:rPr>
          <w:rFonts w:ascii="Arial" w:hAnsi="Arial" w:cs="Arial"/>
        </w:rPr>
      </w:pPr>
      <w:r>
        <w:rPr>
          <w:rFonts w:ascii="Arial" w:hAnsi="Arial" w:cs="Arial"/>
        </w:rPr>
        <w:t>The location is also considered important as Williams et al (1993) suggests that in higher latitude and altitude regions, the summer temperature is the critical variable opposed to the annual precipitation being dominant in lower latitude, semi-arid regions (Williams et al, 1993). This coincides with this study as temperature has been highlighted as the most significant factor influencing radial growth.</w:t>
      </w:r>
    </w:p>
    <w:p w:rsidR="001C0D62" w:rsidRDefault="001C0D62">
      <w:pPr>
        <w:spacing w:line="360" w:lineRule="auto"/>
        <w:jc w:val="both"/>
        <w:rPr>
          <w:rFonts w:ascii="Arial" w:hAnsi="Arial" w:cs="Arial"/>
          <w:sz w:val="8"/>
        </w:rPr>
      </w:pPr>
    </w:p>
    <w:p w:rsidR="001C0D62" w:rsidRDefault="001C0D62">
      <w:pPr>
        <w:spacing w:line="360" w:lineRule="auto"/>
        <w:jc w:val="both"/>
        <w:rPr>
          <w:rFonts w:ascii="Arial" w:hAnsi="Arial" w:cs="Arial"/>
          <w:sz w:val="16"/>
        </w:rPr>
      </w:pPr>
    </w:p>
    <w:p w:rsidR="001C0D62" w:rsidRDefault="001C0D62">
      <w:pPr>
        <w:spacing w:line="360" w:lineRule="auto"/>
        <w:jc w:val="both"/>
        <w:rPr>
          <w:rFonts w:ascii="Arial" w:hAnsi="Arial" w:cs="Arial"/>
          <w:b/>
          <w:bCs/>
          <w:sz w:val="26"/>
          <w:u w:val="single"/>
        </w:rPr>
      </w:pPr>
      <w:r>
        <w:rPr>
          <w:rFonts w:ascii="Arial" w:hAnsi="Arial" w:cs="Arial"/>
          <w:b/>
          <w:bCs/>
          <w:sz w:val="26"/>
          <w:u w:val="single"/>
        </w:rPr>
        <w:t>5.2: Other studies</w:t>
      </w:r>
    </w:p>
    <w:p w:rsidR="001C0D62" w:rsidRDefault="001C0D62">
      <w:pPr>
        <w:spacing w:line="360" w:lineRule="auto"/>
        <w:jc w:val="both"/>
        <w:rPr>
          <w:rFonts w:ascii="Arial" w:hAnsi="Arial" w:cs="Arial"/>
          <w:sz w:val="22"/>
        </w:rPr>
      </w:pPr>
    </w:p>
    <w:p w:rsidR="001C0D62" w:rsidRDefault="001C0D62">
      <w:pPr>
        <w:pStyle w:val="BodyText"/>
        <w:spacing w:line="360" w:lineRule="auto"/>
        <w:jc w:val="both"/>
        <w:rPr>
          <w:b w:val="0"/>
          <w:bCs w:val="0"/>
          <w:sz w:val="24"/>
          <w:u w:val="none"/>
        </w:rPr>
      </w:pPr>
      <w:r>
        <w:rPr>
          <w:b w:val="0"/>
          <w:bCs w:val="0"/>
          <w:sz w:val="24"/>
          <w:u w:val="none"/>
        </w:rPr>
        <w:t xml:space="preserve">In order to further try to establish if the results from this study coincide or differ with other research, a number of studies have been examined in order to assess if the climate plays a significant role in radial growth. When researching various databases which hold ring width records it soon became clear that despite a large number of dendrochronological studies, very few have been undertaken within the </w:t>
      </w:r>
      <w:smartTag w:uri="urn:schemas-microsoft-com:office:smarttags" w:element="country-region">
        <w:smartTag w:uri="urn:schemas-microsoft-com:office:smarttags" w:element="place">
          <w:r>
            <w:rPr>
              <w:b w:val="0"/>
              <w:bCs w:val="0"/>
              <w:sz w:val="24"/>
              <w:u w:val="none"/>
            </w:rPr>
            <w:t>UK</w:t>
          </w:r>
        </w:smartTag>
      </w:smartTag>
      <w:r>
        <w:rPr>
          <w:b w:val="0"/>
          <w:bCs w:val="0"/>
          <w:sz w:val="24"/>
          <w:u w:val="none"/>
        </w:rPr>
        <w:t xml:space="preserve">. This is possibly due to levels of pollution within the </w:t>
      </w:r>
      <w:smartTag w:uri="urn:schemas-microsoft-com:office:smarttags" w:element="country-region">
        <w:smartTag w:uri="urn:schemas-microsoft-com:office:smarttags" w:element="place">
          <w:r>
            <w:rPr>
              <w:b w:val="0"/>
              <w:bCs w:val="0"/>
              <w:sz w:val="24"/>
              <w:u w:val="none"/>
            </w:rPr>
            <w:t>UK</w:t>
          </w:r>
        </w:smartTag>
      </w:smartTag>
      <w:r>
        <w:rPr>
          <w:b w:val="0"/>
          <w:bCs w:val="0"/>
          <w:sz w:val="24"/>
          <w:u w:val="none"/>
        </w:rPr>
        <w:t>, which could affect the results.  Many studies throughout the world which have records of tree rings do not cover the time period of this study, so had to be discarded as the data must cover years within this study in order to assess the climatic effects. Another important point is that the only relevant records with access were for studies of Oak trees. None of the records available that could be used alongside this study included Beech or Sycamore. Therefore as these were not available, only Oak studies have been used for analysis. This perhaps highlights the relevance of this study as it could contribute towards dendrochronological knowledge.</w:t>
      </w:r>
    </w:p>
    <w:p w:rsidR="001C0D62" w:rsidRDefault="001C0D62">
      <w:pPr>
        <w:pStyle w:val="BodyText"/>
        <w:spacing w:line="360" w:lineRule="auto"/>
        <w:jc w:val="both"/>
        <w:rPr>
          <w:b w:val="0"/>
          <w:bCs w:val="0"/>
          <w:sz w:val="16"/>
          <w:u w:val="none"/>
        </w:rPr>
      </w:pPr>
    </w:p>
    <w:p w:rsidR="001C0D62" w:rsidRDefault="001C0D62">
      <w:pPr>
        <w:pStyle w:val="BodyText"/>
        <w:spacing w:line="360" w:lineRule="auto"/>
        <w:jc w:val="both"/>
        <w:rPr>
          <w:b w:val="0"/>
          <w:bCs w:val="0"/>
          <w:sz w:val="6"/>
          <w:u w:val="none"/>
        </w:rPr>
      </w:pPr>
    </w:p>
    <w:p w:rsidR="001C0D62" w:rsidRDefault="001C0D62">
      <w:pPr>
        <w:pStyle w:val="Heading1"/>
        <w:spacing w:line="360" w:lineRule="auto"/>
        <w:jc w:val="both"/>
        <w:rPr>
          <w:sz w:val="24"/>
          <w:u w:val="none"/>
        </w:rPr>
      </w:pPr>
      <w:smartTag w:uri="urn:schemas-microsoft-com:office:smarttags" w:element="place">
        <w:r>
          <w:rPr>
            <w:sz w:val="24"/>
            <w:u w:val="none"/>
          </w:rPr>
          <w:t>Sheffield</w:t>
        </w:r>
      </w:smartTag>
    </w:p>
    <w:p w:rsidR="001C0D62" w:rsidRDefault="001C0D62">
      <w:pPr>
        <w:spacing w:line="360" w:lineRule="auto"/>
        <w:rPr>
          <w:sz w:val="16"/>
        </w:rPr>
      </w:pPr>
    </w:p>
    <w:p w:rsidR="001C0D62" w:rsidRDefault="001C0D62">
      <w:pPr>
        <w:pStyle w:val="BodyText"/>
        <w:spacing w:line="360" w:lineRule="auto"/>
        <w:jc w:val="both"/>
        <w:rPr>
          <w:b w:val="0"/>
          <w:bCs w:val="0"/>
          <w:sz w:val="24"/>
          <w:u w:val="none"/>
        </w:rPr>
      </w:pPr>
      <w:r>
        <w:rPr>
          <w:b w:val="0"/>
          <w:bCs w:val="0"/>
          <w:sz w:val="24"/>
          <w:u w:val="none"/>
        </w:rPr>
        <w:t xml:space="preserve">The results of Oak ring width measurements (mm) from a study in Sheffield (Appendix G: table 3) were analysed along with the Oak ring width measurements from this study, as Sheffield is within a close proximity of the study site of </w:t>
      </w:r>
      <w:smartTag w:uri="urn:schemas-microsoft-com:office:smarttags" w:element="place">
        <w:r>
          <w:rPr>
            <w:b w:val="0"/>
            <w:bCs w:val="0"/>
            <w:sz w:val="24"/>
            <w:u w:val="none"/>
          </w:rPr>
          <w:t>Accrington</w:t>
        </w:r>
      </w:smartTag>
      <w:r>
        <w:rPr>
          <w:b w:val="0"/>
          <w:bCs w:val="0"/>
          <w:sz w:val="24"/>
          <w:u w:val="none"/>
        </w:rPr>
        <w:t xml:space="preserve">. This was used in order to assess if the Oak ring widths responded in the same way to similar climatic conditions. The results appeared to differ, with the </w:t>
      </w:r>
      <w:smartTag w:uri="urn:schemas-microsoft-com:office:smarttags" w:element="place">
        <w:r>
          <w:rPr>
            <w:b w:val="0"/>
            <w:bCs w:val="0"/>
            <w:sz w:val="24"/>
            <w:u w:val="none"/>
          </w:rPr>
          <w:t>Sheffield</w:t>
        </w:r>
      </w:smartTag>
      <w:r>
        <w:rPr>
          <w:b w:val="0"/>
          <w:bCs w:val="0"/>
          <w:sz w:val="24"/>
          <w:u w:val="none"/>
        </w:rPr>
        <w:t xml:space="preserve"> data set showing a wider range of figures. Despite differences, although no relationship was found, the level of significance figure sat just outside the 5% rejection line. As Sheffield is situated East of the </w:t>
      </w:r>
      <w:smartTag w:uri="urn:schemas-microsoft-com:office:smarttags" w:element="place">
        <w:r>
          <w:rPr>
            <w:b w:val="0"/>
            <w:bCs w:val="0"/>
            <w:sz w:val="24"/>
            <w:u w:val="none"/>
          </w:rPr>
          <w:t>Pennines</w:t>
        </w:r>
      </w:smartTag>
      <w:r>
        <w:rPr>
          <w:b w:val="0"/>
          <w:bCs w:val="0"/>
          <w:sz w:val="24"/>
          <w:u w:val="none"/>
        </w:rPr>
        <w:t xml:space="preserve">, the climate is dryer than Priestley Clough, which may account for the variance in results. Perhaps the </w:t>
      </w:r>
      <w:smartTag w:uri="urn:schemas-microsoft-com:office:smarttags" w:element="place">
        <w:r>
          <w:rPr>
            <w:b w:val="0"/>
            <w:bCs w:val="0"/>
            <w:sz w:val="24"/>
            <w:u w:val="none"/>
          </w:rPr>
          <w:t>Accrington</w:t>
        </w:r>
      </w:smartTag>
      <w:r>
        <w:rPr>
          <w:b w:val="0"/>
          <w:bCs w:val="0"/>
          <w:sz w:val="24"/>
          <w:u w:val="none"/>
        </w:rPr>
        <w:t xml:space="preserve"> ring widths demonstrate that higher precipitation levels result in less varied radial growth.</w:t>
      </w:r>
    </w:p>
    <w:p w:rsidR="001C0D62" w:rsidRDefault="001C0D62">
      <w:pPr>
        <w:pStyle w:val="BodyText"/>
        <w:spacing w:line="360" w:lineRule="auto"/>
        <w:jc w:val="both"/>
        <w:rPr>
          <w:b w:val="0"/>
          <w:bCs w:val="0"/>
          <w:sz w:val="26"/>
          <w:u w:val="none"/>
        </w:rPr>
      </w:pPr>
    </w:p>
    <w:p w:rsidR="001C0D62" w:rsidRDefault="001C0D62">
      <w:pPr>
        <w:pStyle w:val="BodyText"/>
        <w:spacing w:line="360" w:lineRule="auto"/>
        <w:jc w:val="both"/>
        <w:rPr>
          <w:sz w:val="24"/>
          <w:u w:val="none"/>
        </w:rPr>
      </w:pPr>
      <w:r>
        <w:rPr>
          <w:sz w:val="24"/>
          <w:u w:val="none"/>
        </w:rPr>
        <w:t>Savernake</w:t>
      </w:r>
    </w:p>
    <w:p w:rsidR="001C0D62" w:rsidRDefault="001C0D62">
      <w:pPr>
        <w:pStyle w:val="BodyText"/>
        <w:spacing w:line="360" w:lineRule="auto"/>
        <w:jc w:val="both"/>
        <w:rPr>
          <w:b w:val="0"/>
          <w:bCs w:val="0"/>
          <w:sz w:val="12"/>
          <w:u w:val="none"/>
        </w:rPr>
      </w:pPr>
    </w:p>
    <w:p w:rsidR="001C0D62" w:rsidRDefault="001C0D62">
      <w:pPr>
        <w:pStyle w:val="BodyText"/>
        <w:spacing w:line="360" w:lineRule="auto"/>
        <w:jc w:val="both"/>
        <w:rPr>
          <w:b w:val="0"/>
          <w:bCs w:val="0"/>
          <w:sz w:val="24"/>
          <w:u w:val="none"/>
        </w:rPr>
      </w:pPr>
      <w:r>
        <w:rPr>
          <w:b w:val="0"/>
          <w:bCs w:val="0"/>
          <w:sz w:val="24"/>
          <w:u w:val="none"/>
        </w:rPr>
        <w:t xml:space="preserve">The results of Oak ring width measurements (mm) from a study that took place in </w:t>
      </w:r>
      <w:smartTag w:uri="urn:schemas-microsoft-com:office:smarttags" w:element="PlaceName">
        <w:r>
          <w:rPr>
            <w:b w:val="0"/>
            <w:bCs w:val="0"/>
            <w:sz w:val="24"/>
            <w:u w:val="none"/>
          </w:rPr>
          <w:t>Savernake</w:t>
        </w:r>
      </w:smartTag>
      <w:r>
        <w:rPr>
          <w:b w:val="0"/>
          <w:bCs w:val="0"/>
          <w:sz w:val="24"/>
          <w:u w:val="none"/>
        </w:rPr>
        <w:t xml:space="preserve"> </w:t>
      </w:r>
      <w:smartTag w:uri="urn:schemas-microsoft-com:office:smarttags" w:element="PlaceType">
        <w:r>
          <w:rPr>
            <w:b w:val="0"/>
            <w:bCs w:val="0"/>
            <w:sz w:val="24"/>
            <w:u w:val="none"/>
          </w:rPr>
          <w:t>Forest</w:t>
        </w:r>
      </w:smartTag>
      <w:r>
        <w:rPr>
          <w:b w:val="0"/>
          <w:bCs w:val="0"/>
          <w:sz w:val="24"/>
          <w:u w:val="none"/>
        </w:rPr>
        <w:t xml:space="preserve"> near </w:t>
      </w:r>
      <w:smartTag w:uri="urn:schemas-microsoft-com:office:smarttags" w:element="place">
        <w:r>
          <w:rPr>
            <w:b w:val="0"/>
            <w:bCs w:val="0"/>
            <w:sz w:val="24"/>
            <w:u w:val="none"/>
          </w:rPr>
          <w:t>Swindon</w:t>
        </w:r>
      </w:smartTag>
      <w:r>
        <w:rPr>
          <w:b w:val="0"/>
          <w:bCs w:val="0"/>
          <w:sz w:val="24"/>
          <w:u w:val="none"/>
        </w:rPr>
        <w:t xml:space="preserve"> (Appendix G: table 4) were analysed with the Oak ring width measurements from this study. This is to determine if there is a north/south divide or if the response is similar. The data sets showed a 96% significance level as they followed a similar pattern. This implies that although the two sites are some distance away from each other within the U.K, they are subjected to relatively similar climatic conditions, which is reflected in the data sets. Equally however, their similar response could represent the Oaks inherited capabilities.</w:t>
      </w:r>
    </w:p>
    <w:p w:rsidR="001C0D62" w:rsidRDefault="001C0D62">
      <w:pPr>
        <w:pStyle w:val="BodyText"/>
        <w:spacing w:line="360" w:lineRule="auto"/>
        <w:jc w:val="both"/>
        <w:rPr>
          <w:b w:val="0"/>
          <w:bCs w:val="0"/>
          <w:sz w:val="30"/>
          <w:u w:val="none"/>
        </w:rPr>
      </w:pPr>
    </w:p>
    <w:p w:rsidR="001C0D62" w:rsidRDefault="001C0D62">
      <w:pPr>
        <w:pStyle w:val="BodyText"/>
        <w:spacing w:line="360" w:lineRule="auto"/>
        <w:jc w:val="both"/>
        <w:rPr>
          <w:b w:val="0"/>
          <w:bCs w:val="0"/>
          <w:sz w:val="24"/>
          <w:u w:val="none"/>
        </w:rPr>
      </w:pPr>
      <w:smartTag w:uri="urn:schemas-microsoft-com:office:smarttags" w:element="place">
        <w:r>
          <w:rPr>
            <w:sz w:val="24"/>
            <w:u w:val="none"/>
          </w:rPr>
          <w:t>East Pomerania</w:t>
        </w:r>
      </w:smartTag>
    </w:p>
    <w:p w:rsidR="001C0D62" w:rsidRDefault="001C0D62">
      <w:pPr>
        <w:pStyle w:val="BodyText"/>
        <w:spacing w:line="360" w:lineRule="auto"/>
        <w:jc w:val="both"/>
        <w:rPr>
          <w:b w:val="0"/>
          <w:bCs w:val="0"/>
          <w:sz w:val="12"/>
          <w:u w:val="none"/>
        </w:rPr>
      </w:pPr>
    </w:p>
    <w:p w:rsidR="001C0D62" w:rsidRDefault="001C0D62">
      <w:pPr>
        <w:pStyle w:val="BodyText"/>
        <w:spacing w:line="360" w:lineRule="auto"/>
        <w:jc w:val="both"/>
        <w:rPr>
          <w:b w:val="0"/>
          <w:bCs w:val="0"/>
          <w:sz w:val="24"/>
          <w:u w:val="none"/>
        </w:rPr>
      </w:pPr>
      <w:r>
        <w:rPr>
          <w:b w:val="0"/>
          <w:bCs w:val="0"/>
          <w:sz w:val="24"/>
          <w:u w:val="none"/>
        </w:rPr>
        <w:t>The results of Oak ring width measurements (mm) from a study in East Pomerania, Poland (Appendix G: table 5) were analysed with Oak ring width measurements from this study as this site has the same latitude (54º) as Priestley Clough. This was to determine if sites on the same latitude responded in the same way to the climatic conditions. Despite Priestley Clough having larger ring widths generally the results do appear to be similar in places. Although no relationship could be proved with statistical analysis, the level of significance figure was just below the 5% rejection level. This shows that despite the ring widths not following a close trend they responded similarly in some instances.</w:t>
      </w:r>
    </w:p>
    <w:p w:rsidR="001C0D62" w:rsidRDefault="001C0D62">
      <w:pPr>
        <w:spacing w:line="360" w:lineRule="auto"/>
        <w:jc w:val="both"/>
        <w:rPr>
          <w:rFonts w:ascii="Arial" w:hAnsi="Arial" w:cs="Arial"/>
          <w:sz w:val="36"/>
        </w:rPr>
      </w:pPr>
    </w:p>
    <w:p w:rsidR="001C0D62" w:rsidRDefault="001C0D62">
      <w:pPr>
        <w:spacing w:line="360" w:lineRule="auto"/>
        <w:jc w:val="both"/>
        <w:rPr>
          <w:rFonts w:ascii="Arial" w:hAnsi="Arial" w:cs="Arial"/>
        </w:rPr>
      </w:pPr>
      <w:r>
        <w:rPr>
          <w:rFonts w:ascii="Arial" w:hAnsi="Arial" w:cs="Arial"/>
        </w:rPr>
        <w:t xml:space="preserve">When comparing the Sheffield data set with that of East Pomerania (same latitude), the results showed a significance level of 98%, therefore there is a relationship between the data sets; thus they have potentially responded similarly to the climatic conditions. </w:t>
      </w:r>
    </w:p>
    <w:p w:rsidR="001C0D62" w:rsidRDefault="001C0D62">
      <w:pPr>
        <w:pStyle w:val="BodyText"/>
        <w:spacing w:line="360" w:lineRule="auto"/>
        <w:jc w:val="both"/>
        <w:rPr>
          <w:b w:val="0"/>
          <w:bCs w:val="0"/>
          <w:sz w:val="24"/>
          <w:u w:val="none"/>
        </w:rPr>
      </w:pPr>
      <w:r>
        <w:rPr>
          <w:b w:val="0"/>
          <w:bCs w:val="0"/>
          <w:sz w:val="24"/>
          <w:u w:val="none"/>
        </w:rPr>
        <w:t xml:space="preserve">The </w:t>
      </w:r>
      <w:smartTag w:uri="urn:schemas-microsoft-com:office:smarttags" w:element="place">
        <w:r>
          <w:rPr>
            <w:b w:val="0"/>
            <w:bCs w:val="0"/>
            <w:sz w:val="24"/>
            <w:u w:val="none"/>
          </w:rPr>
          <w:t>East Pomerania</w:t>
        </w:r>
      </w:smartTag>
      <w:r>
        <w:rPr>
          <w:b w:val="0"/>
          <w:bCs w:val="0"/>
          <w:sz w:val="24"/>
          <w:u w:val="none"/>
        </w:rPr>
        <w:t xml:space="preserve"> and Savernake data sets have been compared in order to assess if there is a relationship between them. As the statistical level of significance provided a value of 99%, the two data sets are very much related. The climate in East Pomerania differs to the </w:t>
      </w:r>
      <w:smartTag w:uri="urn:schemas-microsoft-com:office:smarttags" w:element="country-region">
        <w:smartTag w:uri="urn:schemas-microsoft-com:office:smarttags" w:element="place">
          <w:r>
            <w:rPr>
              <w:b w:val="0"/>
              <w:bCs w:val="0"/>
              <w:sz w:val="24"/>
              <w:u w:val="none"/>
            </w:rPr>
            <w:t>UK</w:t>
          </w:r>
        </w:smartTag>
      </w:smartTag>
      <w:r>
        <w:rPr>
          <w:b w:val="0"/>
          <w:bCs w:val="0"/>
          <w:sz w:val="24"/>
          <w:u w:val="none"/>
        </w:rPr>
        <w:t xml:space="preserve"> as it has high precipitation rates, but temperatures are similar (Polska, 2011). A relationship has been identified providing evidence to suggest they have had similar responses despite </w:t>
      </w:r>
      <w:smartTag w:uri="urn:schemas-microsoft-com:office:smarttags" w:element="place">
        <w:r>
          <w:rPr>
            <w:b w:val="0"/>
            <w:bCs w:val="0"/>
            <w:sz w:val="24"/>
            <w:u w:val="none"/>
          </w:rPr>
          <w:t>East Pomerania</w:t>
        </w:r>
      </w:smartTag>
      <w:r>
        <w:rPr>
          <w:b w:val="0"/>
          <w:bCs w:val="0"/>
          <w:sz w:val="24"/>
          <w:u w:val="none"/>
        </w:rPr>
        <w:t xml:space="preserve"> receiving higher levels of precipitation. This could highlight that precipitation has a reduced impact upon radial growth compared with temperature amongst Oak.</w:t>
      </w:r>
    </w:p>
    <w:p w:rsidR="001C0D62" w:rsidRDefault="001C0D62">
      <w:pPr>
        <w:pStyle w:val="BodyText"/>
        <w:spacing w:line="360" w:lineRule="auto"/>
        <w:jc w:val="both"/>
        <w:rPr>
          <w:b w:val="0"/>
          <w:bCs w:val="0"/>
          <w:sz w:val="22"/>
          <w:u w:val="none"/>
        </w:rPr>
      </w:pPr>
    </w:p>
    <w:p w:rsidR="001C0D62" w:rsidRDefault="001C0D62">
      <w:pPr>
        <w:pStyle w:val="BodyText"/>
        <w:spacing w:line="360" w:lineRule="auto"/>
        <w:jc w:val="both"/>
        <w:rPr>
          <w:b w:val="0"/>
          <w:bCs w:val="0"/>
          <w:sz w:val="24"/>
          <w:u w:val="none"/>
        </w:rPr>
      </w:pPr>
      <w:r>
        <w:rPr>
          <w:b w:val="0"/>
          <w:bCs w:val="0"/>
          <w:sz w:val="24"/>
          <w:u w:val="none"/>
        </w:rPr>
        <w:t xml:space="preserve">The </w:t>
      </w:r>
      <w:smartTag w:uri="urn:schemas-microsoft-com:office:smarttags" w:element="place">
        <w:r>
          <w:rPr>
            <w:b w:val="0"/>
            <w:bCs w:val="0"/>
            <w:sz w:val="24"/>
            <w:u w:val="none"/>
          </w:rPr>
          <w:t>Sheffield</w:t>
        </w:r>
      </w:smartTag>
      <w:r>
        <w:rPr>
          <w:b w:val="0"/>
          <w:bCs w:val="0"/>
          <w:sz w:val="24"/>
          <w:u w:val="none"/>
        </w:rPr>
        <w:t xml:space="preserve"> and Savernake data sets follow each other very closely and represents the strongest relationship when looking at figure 4.24 (page 60), with the data having a significance level of 97% which further highlights a relationship. According to the Meteorological Office (2013b), despite the location difference they have similar mild climates, therefore meaning that they have been subjected to similar conditions. This highlights that they have largely responded in the same way to the climatic conditions, proving the idea that climate plays a dominating role in ring widths.</w:t>
      </w:r>
    </w:p>
    <w:p w:rsidR="001C0D62" w:rsidRDefault="001C0D62">
      <w:pPr>
        <w:pStyle w:val="BodyText"/>
        <w:spacing w:line="360" w:lineRule="auto"/>
        <w:jc w:val="both"/>
        <w:rPr>
          <w:b w:val="0"/>
          <w:bCs w:val="0"/>
          <w:sz w:val="24"/>
          <w:u w:val="none"/>
        </w:rPr>
      </w:pPr>
    </w:p>
    <w:p w:rsidR="001C0D62" w:rsidRDefault="001C0D62">
      <w:pPr>
        <w:pStyle w:val="BodyText"/>
        <w:spacing w:line="360" w:lineRule="auto"/>
        <w:jc w:val="both"/>
        <w:rPr>
          <w:b w:val="0"/>
          <w:bCs w:val="0"/>
          <w:sz w:val="22"/>
          <w:u w:val="none"/>
        </w:rPr>
      </w:pPr>
    </w:p>
    <w:p w:rsidR="001C0D62" w:rsidRDefault="001C0D62">
      <w:pPr>
        <w:pStyle w:val="BodyText"/>
        <w:spacing w:line="360" w:lineRule="auto"/>
        <w:jc w:val="both"/>
        <w:rPr>
          <w:sz w:val="26"/>
        </w:rPr>
      </w:pPr>
      <w:r>
        <w:rPr>
          <w:sz w:val="26"/>
        </w:rPr>
        <w:t>5.3: Conclusion</w:t>
      </w:r>
    </w:p>
    <w:p w:rsidR="001C0D62" w:rsidRDefault="001C0D62">
      <w:pPr>
        <w:pStyle w:val="BodyText"/>
        <w:spacing w:line="360" w:lineRule="auto"/>
        <w:jc w:val="both"/>
        <w:rPr>
          <w:b w:val="0"/>
          <w:bCs w:val="0"/>
          <w:sz w:val="24"/>
          <w:u w:val="none"/>
        </w:rPr>
      </w:pPr>
    </w:p>
    <w:p w:rsidR="001C0D62" w:rsidRDefault="001C0D62">
      <w:pPr>
        <w:spacing w:line="360" w:lineRule="auto"/>
        <w:jc w:val="both"/>
        <w:rPr>
          <w:rFonts w:ascii="Arial" w:hAnsi="Arial" w:cs="Arial"/>
        </w:rPr>
      </w:pPr>
      <w:r>
        <w:rPr>
          <w:rFonts w:ascii="Arial" w:hAnsi="Arial" w:cs="Arial"/>
        </w:rPr>
        <w:t>The results from this study are not conclusive and in many cases have not shown strong relationships, if any at all in some cases. However, other factors are involved including biological factors e.g. tree age (Briffa et al, 2002). Hughes et al (1982) recognises that radial growth responses may vary significantly not only with climate and site conditions, but equally the inherited capabilities of each tree species (Hughes et al, 1982). Although the climatic conditions are recognised as a major influencing factor affecting radial growth (Esau 1965; Creber 1977; LaMarche &amp; Fritts 1971), there still remains contradiction amongst research from different studies throughout the world related to many different species of tree, in addition to the influence of the current growing season and of the previous ones.</w:t>
      </w:r>
    </w:p>
    <w:p w:rsidR="001C0D62" w:rsidRDefault="001C0D62">
      <w:pPr>
        <w:pStyle w:val="BodyText"/>
        <w:spacing w:line="360" w:lineRule="auto"/>
        <w:jc w:val="both"/>
        <w:rPr>
          <w:b w:val="0"/>
          <w:bCs w:val="0"/>
          <w:sz w:val="24"/>
          <w:u w:val="none"/>
        </w:rPr>
      </w:pPr>
    </w:p>
    <w:p w:rsidR="001C0D62" w:rsidRDefault="001C0D62">
      <w:pPr>
        <w:pStyle w:val="BodyText"/>
        <w:spacing w:line="360" w:lineRule="auto"/>
        <w:jc w:val="both"/>
        <w:rPr>
          <w:b w:val="0"/>
          <w:bCs w:val="0"/>
          <w:sz w:val="24"/>
          <w:u w:val="none"/>
        </w:rPr>
      </w:pPr>
      <w:r>
        <w:rPr>
          <w:b w:val="0"/>
          <w:bCs w:val="0"/>
          <w:sz w:val="24"/>
          <w:u w:val="none"/>
        </w:rPr>
        <w:t>However, despite uncertainties, the results indicate that there are relationships between some of the variables, or the potential for relationships to exist had a greater number of samples been collected (main aim of the study). The strongest relationship within this study is the influence of temperature upon Oak radial growth. This was the only response, which reflected the hypotheses. Another aim was to compare the three species from this study, which suggests that there are no particular relationships in their response to climate. Comparing the data with other studies also suggests that climate has an impact upon the radial growth, although this is perhaps not the only factor influencing growth and that each species of tree has responded differently.</w:t>
      </w:r>
    </w:p>
    <w:p w:rsidR="001C0D62" w:rsidRDefault="001C0D62">
      <w:pPr>
        <w:pStyle w:val="BodyText"/>
        <w:spacing w:line="360" w:lineRule="auto"/>
        <w:jc w:val="both"/>
        <w:rPr>
          <w:b w:val="0"/>
          <w:bCs w:val="0"/>
          <w:sz w:val="24"/>
          <w:u w:val="none"/>
        </w:rPr>
      </w:pPr>
    </w:p>
    <w:p w:rsidR="001C0D62" w:rsidRDefault="001C0D62">
      <w:pPr>
        <w:pStyle w:val="BodyText"/>
        <w:spacing w:line="360" w:lineRule="auto"/>
        <w:jc w:val="both"/>
        <w:rPr>
          <w:b w:val="0"/>
          <w:bCs w:val="0"/>
          <w:sz w:val="24"/>
          <w:u w:val="none"/>
        </w:rPr>
      </w:pPr>
    </w:p>
    <w:p w:rsidR="001C0D62" w:rsidRDefault="001C0D62">
      <w:pPr>
        <w:pStyle w:val="BodyText"/>
        <w:spacing w:line="360" w:lineRule="auto"/>
        <w:jc w:val="both"/>
        <w:rPr>
          <w:sz w:val="26"/>
        </w:rPr>
      </w:pPr>
      <w:r>
        <w:rPr>
          <w:sz w:val="26"/>
        </w:rPr>
        <w:t>5.4: Limitations</w:t>
      </w:r>
    </w:p>
    <w:p w:rsidR="001C0D62" w:rsidRDefault="001C0D62">
      <w:pPr>
        <w:pStyle w:val="BodyText"/>
        <w:spacing w:line="360" w:lineRule="auto"/>
        <w:jc w:val="both"/>
        <w:rPr>
          <w:b w:val="0"/>
          <w:bCs w:val="0"/>
          <w:sz w:val="24"/>
          <w:u w:val="none"/>
        </w:rPr>
      </w:pPr>
    </w:p>
    <w:p w:rsidR="001C0D62" w:rsidRDefault="001C0D62">
      <w:pPr>
        <w:numPr>
          <w:ilvl w:val="0"/>
          <w:numId w:val="24"/>
        </w:numPr>
        <w:spacing w:line="360" w:lineRule="auto"/>
        <w:jc w:val="both"/>
        <w:rPr>
          <w:rFonts w:ascii="Arial" w:hAnsi="Arial" w:cs="Arial"/>
        </w:rPr>
      </w:pPr>
      <w:r>
        <w:rPr>
          <w:rFonts w:ascii="Arial" w:hAnsi="Arial" w:cs="Arial"/>
        </w:rPr>
        <w:t>The study covered a period of just 40 years. In order to look at the climatic impact upon radial growth, a much longer time period would provide more accurate results.</w:t>
      </w:r>
    </w:p>
    <w:p w:rsidR="001C0D62" w:rsidRDefault="001C0D62">
      <w:pPr>
        <w:numPr>
          <w:ilvl w:val="0"/>
          <w:numId w:val="24"/>
        </w:numPr>
        <w:spacing w:line="360" w:lineRule="auto"/>
        <w:jc w:val="both"/>
        <w:rPr>
          <w:rFonts w:ascii="Arial" w:hAnsi="Arial" w:cs="Arial"/>
        </w:rPr>
      </w:pPr>
      <w:r>
        <w:rPr>
          <w:rFonts w:ascii="Arial" w:hAnsi="Arial" w:cs="Arial"/>
        </w:rPr>
        <w:t>The collection of 50 samples should be increased in order to allow a greater level of accuracy and confidence in the results.</w:t>
      </w:r>
    </w:p>
    <w:p w:rsidR="001C0D62" w:rsidRDefault="001C0D62">
      <w:pPr>
        <w:numPr>
          <w:ilvl w:val="0"/>
          <w:numId w:val="24"/>
        </w:numPr>
        <w:spacing w:line="360" w:lineRule="auto"/>
        <w:jc w:val="both"/>
        <w:rPr>
          <w:rFonts w:ascii="Arial" w:hAnsi="Arial" w:cs="Arial"/>
        </w:rPr>
      </w:pPr>
      <w:r>
        <w:rPr>
          <w:rFonts w:ascii="Arial" w:hAnsi="Arial" w:cs="Arial"/>
        </w:rPr>
        <w:t>Although time was taken for the collection of samples, a greater level of expertise would be desirable in order to increase the level of accuracy amongst the collection of samples.</w:t>
      </w:r>
    </w:p>
    <w:p w:rsidR="001C0D62" w:rsidRDefault="001C0D62">
      <w:pPr>
        <w:numPr>
          <w:ilvl w:val="0"/>
          <w:numId w:val="24"/>
        </w:numPr>
        <w:spacing w:line="360" w:lineRule="auto"/>
        <w:jc w:val="both"/>
        <w:rPr>
          <w:b/>
          <w:bCs/>
        </w:rPr>
      </w:pPr>
      <w:r>
        <w:rPr>
          <w:rFonts w:ascii="Arial" w:hAnsi="Arial" w:cs="Arial"/>
        </w:rPr>
        <w:t>Ideally a large pilot study would have been undertaken as good practice (lack of permission/time).</w:t>
      </w: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rPr>
      </w:pPr>
    </w:p>
    <w:p w:rsidR="001C0D62" w:rsidRDefault="001C0D62">
      <w:pPr>
        <w:spacing w:line="360" w:lineRule="auto"/>
        <w:jc w:val="both"/>
        <w:rPr>
          <w:rFonts w:ascii="Arial" w:hAnsi="Arial" w:cs="Arial"/>
          <w:b/>
          <w:bCs/>
          <w:sz w:val="26"/>
          <w:u w:val="single"/>
        </w:rPr>
      </w:pPr>
      <w:r>
        <w:rPr>
          <w:rFonts w:ascii="Arial" w:hAnsi="Arial" w:cs="Arial"/>
          <w:b/>
          <w:bCs/>
          <w:sz w:val="26"/>
          <w:u w:val="single"/>
        </w:rPr>
        <w:t>5.5: Future Work</w:t>
      </w:r>
    </w:p>
    <w:p w:rsidR="001C0D62" w:rsidRDefault="001C0D62">
      <w:pPr>
        <w:spacing w:line="360" w:lineRule="auto"/>
        <w:jc w:val="both"/>
        <w:rPr>
          <w:rFonts w:ascii="Arial" w:hAnsi="Arial" w:cs="Arial"/>
        </w:rPr>
      </w:pPr>
    </w:p>
    <w:p w:rsidR="001C0D62" w:rsidRDefault="001C0D62">
      <w:pPr>
        <w:spacing w:line="360" w:lineRule="auto"/>
        <w:jc w:val="both"/>
      </w:pPr>
      <w:r>
        <w:rPr>
          <w:rFonts w:ascii="Arial" w:hAnsi="Arial" w:cs="Arial"/>
        </w:rPr>
        <w:t>This research could be taken much further in order to assess the climatic implications upon radial growth.</w:t>
      </w:r>
    </w:p>
    <w:p w:rsidR="001C0D62" w:rsidRDefault="001C0D62">
      <w:pPr>
        <w:spacing w:line="360" w:lineRule="auto"/>
        <w:jc w:val="both"/>
        <w:rPr>
          <w:rFonts w:ascii="Arial" w:hAnsi="Arial" w:cs="Arial"/>
        </w:rPr>
      </w:pPr>
    </w:p>
    <w:p w:rsidR="001C0D62" w:rsidRDefault="001C0D62">
      <w:pPr>
        <w:numPr>
          <w:ilvl w:val="0"/>
          <w:numId w:val="25"/>
        </w:numPr>
        <w:spacing w:line="360" w:lineRule="auto"/>
        <w:jc w:val="both"/>
        <w:rPr>
          <w:rFonts w:ascii="Arial" w:hAnsi="Arial" w:cs="Arial"/>
        </w:rPr>
      </w:pPr>
      <w:r>
        <w:rPr>
          <w:rFonts w:ascii="Arial" w:hAnsi="Arial" w:cs="Arial"/>
        </w:rPr>
        <w:t>A larger time period could be looked at in order to provide more reliable evaluations of the climatic effects.</w:t>
      </w:r>
    </w:p>
    <w:p w:rsidR="001C0D62" w:rsidRDefault="001C0D62">
      <w:pPr>
        <w:numPr>
          <w:ilvl w:val="0"/>
          <w:numId w:val="25"/>
        </w:numPr>
        <w:spacing w:line="360" w:lineRule="auto"/>
        <w:jc w:val="both"/>
        <w:rPr>
          <w:rFonts w:ascii="Arial" w:hAnsi="Arial" w:cs="Arial"/>
        </w:rPr>
      </w:pPr>
      <w:r>
        <w:rPr>
          <w:rFonts w:ascii="Arial" w:hAnsi="Arial" w:cs="Arial"/>
        </w:rPr>
        <w:t>A larger sample base could be analysed which is a simple way of gaining accuracy within any study.</w:t>
      </w:r>
    </w:p>
    <w:p w:rsidR="001C0D62" w:rsidRDefault="001C0D62">
      <w:pPr>
        <w:numPr>
          <w:ilvl w:val="0"/>
          <w:numId w:val="25"/>
        </w:numPr>
        <w:spacing w:line="360" w:lineRule="auto"/>
        <w:jc w:val="both"/>
        <w:rPr>
          <w:rFonts w:ascii="Arial" w:hAnsi="Arial" w:cs="Arial"/>
        </w:rPr>
      </w:pPr>
      <w:r>
        <w:rPr>
          <w:rFonts w:ascii="Arial" w:hAnsi="Arial" w:cs="Arial"/>
        </w:rPr>
        <w:t xml:space="preserve">Many more sites could be examined around </w:t>
      </w:r>
      <w:smartTag w:uri="urn:schemas-microsoft-com:office:smarttags" w:element="place">
        <w:r>
          <w:rPr>
            <w:rFonts w:ascii="Arial" w:hAnsi="Arial" w:cs="Arial"/>
          </w:rPr>
          <w:t>Lancashire</w:t>
        </w:r>
      </w:smartTag>
      <w:r>
        <w:rPr>
          <w:rFonts w:ascii="Arial" w:hAnsi="Arial" w:cs="Arial"/>
        </w:rPr>
        <w:t xml:space="preserve"> as well as in other locations, with differing climates.</w:t>
      </w:r>
    </w:p>
    <w:p w:rsidR="001C0D62" w:rsidRDefault="001C0D62">
      <w:pPr>
        <w:numPr>
          <w:ilvl w:val="0"/>
          <w:numId w:val="25"/>
        </w:numPr>
        <w:spacing w:line="360" w:lineRule="auto"/>
        <w:jc w:val="both"/>
        <w:rPr>
          <w:rFonts w:ascii="Arial" w:hAnsi="Arial" w:cs="Arial"/>
        </w:rPr>
      </w:pPr>
      <w:r>
        <w:rPr>
          <w:rFonts w:ascii="Arial" w:hAnsi="Arial" w:cs="Arial"/>
        </w:rPr>
        <w:t>Different species could be examined to see how they respond to the climatic conditions.</w:t>
      </w:r>
    </w:p>
    <w:p w:rsidR="001C0D62" w:rsidRDefault="001C0D62">
      <w:pPr>
        <w:numPr>
          <w:ilvl w:val="0"/>
          <w:numId w:val="25"/>
        </w:numPr>
        <w:spacing w:line="360" w:lineRule="auto"/>
        <w:jc w:val="both"/>
        <w:rPr>
          <w:rFonts w:ascii="Arial" w:hAnsi="Arial" w:cs="Arial"/>
        </w:rPr>
      </w:pPr>
      <w:r>
        <w:rPr>
          <w:rFonts w:ascii="Arial" w:hAnsi="Arial" w:cs="Arial"/>
        </w:rPr>
        <w:t>Monthly climatic conditions could also be assessed rather than simply using annual averages in order to determine the effects more closely.</w:t>
      </w:r>
    </w:p>
    <w:p w:rsidR="001C0D62" w:rsidRDefault="001C0D62">
      <w:pPr>
        <w:numPr>
          <w:ilvl w:val="0"/>
          <w:numId w:val="25"/>
        </w:numPr>
        <w:spacing w:line="360" w:lineRule="auto"/>
        <w:jc w:val="both"/>
        <w:rPr>
          <w:rFonts w:ascii="Arial" w:hAnsi="Arial" w:cs="Arial"/>
          <w:b/>
          <w:bCs/>
          <w:sz w:val="32"/>
          <w:u w:val="single"/>
        </w:rPr>
      </w:pPr>
      <w:r>
        <w:rPr>
          <w:rFonts w:ascii="Arial" w:hAnsi="Arial" w:cs="Arial"/>
        </w:rPr>
        <w:t>Latewood and earlywood growth could also be examined in order to determine the effect of the growing season.</w:t>
      </w:r>
    </w:p>
    <w:p w:rsidR="001C0D62" w:rsidRDefault="001C0D62">
      <w:pPr>
        <w:pStyle w:val="Heading2"/>
      </w:pPr>
    </w:p>
    <w:p w:rsidR="001C0D62" w:rsidRDefault="001C0D62">
      <w:pPr>
        <w:pStyle w:val="Heading2"/>
      </w:pPr>
    </w:p>
    <w:p w:rsidR="001C0D62" w:rsidRDefault="001C0D62">
      <w:pPr>
        <w:pStyle w:val="Heading2"/>
      </w:pPr>
    </w:p>
    <w:p w:rsidR="001C0D62" w:rsidRDefault="001C0D62"/>
    <w:p w:rsidR="001C0D62" w:rsidRDefault="001C0D62"/>
    <w:p w:rsidR="001C0D62" w:rsidRDefault="001C0D62"/>
    <w:p w:rsidR="001C0D62" w:rsidRDefault="001C0D62"/>
    <w:p w:rsidR="001C0D62" w:rsidRDefault="001C0D62"/>
    <w:p w:rsidR="001C0D62" w:rsidRDefault="001C0D62"/>
    <w:p w:rsidR="001C0D62" w:rsidRDefault="001C0D62"/>
    <w:p w:rsidR="001C0D62" w:rsidRDefault="001C0D62"/>
    <w:p w:rsidR="001C0D62" w:rsidRDefault="001C0D62"/>
    <w:p w:rsidR="001C0D62" w:rsidRDefault="001C0D62"/>
    <w:p w:rsidR="001C0D62" w:rsidRDefault="001C0D62"/>
    <w:p w:rsidR="001C0D62" w:rsidRDefault="001C0D62">
      <w:pPr>
        <w:pStyle w:val="Heading2"/>
        <w:rPr>
          <w:sz w:val="24"/>
        </w:rPr>
      </w:pPr>
    </w:p>
    <w:p w:rsidR="001C0D62" w:rsidRDefault="001C0D62">
      <w:pPr>
        <w:pStyle w:val="Footer"/>
        <w:tabs>
          <w:tab w:val="clear" w:pos="4320"/>
          <w:tab w:val="clear" w:pos="8640"/>
        </w:tabs>
      </w:pPr>
    </w:p>
    <w:p w:rsidR="001C0D62" w:rsidRDefault="001C0D62">
      <w:pPr>
        <w:pStyle w:val="Heading2"/>
        <w:rPr>
          <w:sz w:val="24"/>
        </w:rPr>
      </w:pPr>
    </w:p>
    <w:p w:rsidR="001C0D62" w:rsidRDefault="001C0D62">
      <w:pPr>
        <w:pStyle w:val="Footer"/>
        <w:tabs>
          <w:tab w:val="clear" w:pos="4320"/>
          <w:tab w:val="clear" w:pos="8640"/>
        </w:tabs>
      </w:pPr>
    </w:p>
    <w:p w:rsidR="001C0D62" w:rsidRDefault="001C0D62">
      <w:pPr>
        <w:pStyle w:val="Heading2"/>
      </w:pPr>
      <w:r>
        <w:t>References</w:t>
      </w:r>
    </w:p>
    <w:p w:rsidR="001C0D62" w:rsidRDefault="001C0D62">
      <w:pPr>
        <w:jc w:val="center"/>
        <w:rPr>
          <w:rFonts w:ascii="Arial" w:hAnsi="Arial" w:cs="Arial"/>
        </w:rPr>
      </w:pPr>
    </w:p>
    <w:p w:rsidR="001C0D62" w:rsidRDefault="001C0D62">
      <w:pPr>
        <w:rPr>
          <w:rFonts w:ascii="Arial" w:hAnsi="Arial" w:cs="Arial"/>
        </w:rPr>
      </w:pPr>
    </w:p>
    <w:p w:rsidR="001C0D62" w:rsidRDefault="001C0D62">
      <w:pPr>
        <w:jc w:val="both"/>
        <w:rPr>
          <w:rFonts w:ascii="Arial" w:hAnsi="Arial" w:cs="Arial"/>
        </w:rPr>
      </w:pPr>
      <w:r>
        <w:rPr>
          <w:rFonts w:ascii="Arial" w:hAnsi="Arial" w:cs="Arial"/>
        </w:rPr>
        <w:t xml:space="preserve">Augustaitis, A., Jasineviciene, D., Girgzdiene, R., Kliucius, A. &amp; Marozas, V. (2012). </w:t>
      </w:r>
      <w:r>
        <w:rPr>
          <w:rFonts w:ascii="Arial" w:hAnsi="Arial" w:cs="Arial"/>
          <w:i/>
          <w:iCs/>
        </w:rPr>
        <w:t xml:space="preserve">Sensitivity of beech trees to global environmental changes at most north-eastern latitude of their occurrence in </w:t>
      </w:r>
      <w:smartTag w:uri="urn:schemas-microsoft-com:office:smarttags" w:element="place">
        <w:r>
          <w:rPr>
            <w:rFonts w:ascii="Arial" w:hAnsi="Arial" w:cs="Arial"/>
            <w:i/>
            <w:iCs/>
          </w:rPr>
          <w:t>Europe</w:t>
        </w:r>
      </w:smartTag>
      <w:r>
        <w:rPr>
          <w:rFonts w:ascii="Arial" w:hAnsi="Arial" w:cs="Arial"/>
        </w:rPr>
        <w:t>, Scientific World Journal, 2012, Article ID: 743926.</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Barbaroux, C. &amp; Breda, N. (2002). Contrasting distribution and seasonal dynamics of carbohydrate reserves in stem wood of adult ring porous sessile oak and diffuse-porous beech trees, </w:t>
      </w:r>
      <w:r>
        <w:rPr>
          <w:rFonts w:ascii="Arial" w:hAnsi="Arial" w:cs="Arial"/>
          <w:i/>
          <w:iCs/>
        </w:rPr>
        <w:t>Tree Physiology</w:t>
      </w:r>
      <w:r>
        <w:rPr>
          <w:rFonts w:ascii="Arial" w:hAnsi="Arial" w:cs="Arial"/>
        </w:rPr>
        <w:t xml:space="preserve">, </w:t>
      </w:r>
      <w:r>
        <w:rPr>
          <w:rFonts w:ascii="Arial" w:hAnsi="Arial" w:cs="Arial"/>
          <w:b/>
          <w:bCs/>
        </w:rPr>
        <w:t>22</w:t>
      </w:r>
      <w:r>
        <w:rPr>
          <w:rFonts w:ascii="Arial" w:hAnsi="Arial" w:cs="Arial"/>
        </w:rPr>
        <w:t>, 17 1201-1210.</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Barry, R.G. &amp; Chorley, R.J. (1998). </w:t>
      </w:r>
      <w:r>
        <w:rPr>
          <w:rFonts w:ascii="Arial" w:hAnsi="Arial" w:cs="Arial"/>
          <w:i/>
          <w:iCs/>
        </w:rPr>
        <w:t>Atmosphere, Weather &amp; Climate</w:t>
      </w:r>
      <w:r>
        <w:rPr>
          <w:rFonts w:ascii="Arial" w:hAnsi="Arial" w:cs="Arial"/>
        </w:rPr>
        <w:t xml:space="preserve">. Routledge, </w:t>
      </w:r>
      <w:smartTag w:uri="urn:schemas-microsoft-com:office:smarttags" w:element="City">
        <w:smartTag w:uri="urn:schemas-microsoft-com:office:smarttags" w:element="place">
          <w:r>
            <w:rPr>
              <w:rFonts w:ascii="Arial" w:hAnsi="Arial" w:cs="Arial"/>
            </w:rPr>
            <w:t>London</w:t>
          </w:r>
        </w:smartTag>
      </w:smartTag>
      <w:r>
        <w:rPr>
          <w:rFonts w:ascii="Arial" w:hAnsi="Arial" w:cs="Arial"/>
        </w:rPr>
        <w:t>. 7</w:t>
      </w:r>
      <w:r>
        <w:rPr>
          <w:rFonts w:ascii="Arial" w:hAnsi="Arial" w:cs="Arial"/>
          <w:vertAlign w:val="superscript"/>
        </w:rPr>
        <w:t>th</w:t>
      </w:r>
      <w:r>
        <w:rPr>
          <w:rFonts w:ascii="Arial" w:hAnsi="Arial" w:cs="Arial"/>
        </w:rPr>
        <w:t xml:space="preserve"> Edn.</w:t>
      </w:r>
    </w:p>
    <w:p w:rsidR="001C0D62" w:rsidRDefault="001C0D62">
      <w:pPr>
        <w:jc w:val="both"/>
        <w:rPr>
          <w:rFonts w:ascii="Arial" w:hAnsi="Arial" w:cs="Arial"/>
        </w:rPr>
      </w:pPr>
    </w:p>
    <w:p w:rsidR="001C0D62" w:rsidRDefault="001C0D62">
      <w:pPr>
        <w:autoSpaceDE w:val="0"/>
        <w:autoSpaceDN w:val="0"/>
        <w:adjustRightInd w:val="0"/>
        <w:rPr>
          <w:rFonts w:ascii="Arial" w:hAnsi="Arial" w:cs="Arial"/>
        </w:rPr>
      </w:pPr>
      <w:r>
        <w:rPr>
          <w:rFonts w:ascii="Arial" w:hAnsi="Arial" w:cs="Arial"/>
          <w:lang w:val="en"/>
        </w:rPr>
        <w:t xml:space="preserve">Baughman, M. (2010). Flooding Efects on </w:t>
      </w:r>
      <w:smartTag w:uri="urn:schemas-microsoft-com:office:smarttags" w:element="place">
        <w:r>
          <w:rPr>
            <w:rFonts w:ascii="Arial" w:hAnsi="Arial" w:cs="Arial"/>
            <w:lang w:val="en"/>
          </w:rPr>
          <w:t>Tees</w:t>
        </w:r>
      </w:smartTag>
      <w:r>
        <w:rPr>
          <w:rFonts w:ascii="Arial" w:hAnsi="Arial" w:cs="Arial"/>
          <w:lang w:val="en"/>
        </w:rPr>
        <w:t xml:space="preserve">. Available at: </w:t>
      </w:r>
      <w:hyperlink w:history="1">
        <w:r>
          <w:rPr>
            <w:rStyle w:val="Hyperlink"/>
            <w:rFonts w:ascii="Arial" w:hAnsi="Arial" w:cs="Arial"/>
            <w:color w:val="auto"/>
            <w:u w:val="none"/>
            <w:lang w:val="en"/>
          </w:rPr>
          <w:t>http://www. extension.umn.edu/distribution/naturalresources/M1289.html</w:t>
        </w:r>
      </w:hyperlink>
      <w:r>
        <w:rPr>
          <w:rFonts w:ascii="Arial" w:hAnsi="Arial" w:cs="Arial"/>
          <w:lang w:val="en"/>
        </w:rPr>
        <w:t>. Accessed 16 June 2012.</w:t>
      </w:r>
      <w:r>
        <w:rPr>
          <w:rStyle w:val="loginovrcontent"/>
          <w:rFonts w:ascii="Arial" w:hAnsi="Arial" w:cs="Arial"/>
          <w:vanish/>
          <w:lang w:val="en"/>
        </w:rPr>
        <w:t xml:space="preserve">, M. (2010). Flooding effects on trees. Available at: </w:t>
      </w:r>
      <w:hyperlink w:history="1">
        <w:r>
          <w:rPr>
            <w:rStyle w:val="Hyperlink"/>
            <w:rFonts w:ascii="Arial" w:hAnsi="Arial" w:cs="Arial"/>
            <w:vanish/>
            <w:color w:val="auto"/>
            <w:u w:val="none"/>
            <w:lang w:val="en"/>
          </w:rPr>
          <w:t>http://www.extension.umn.edu/distribution/naturalresources/M1289.html</w:t>
        </w:r>
      </w:hyperlink>
      <w:r>
        <w:rPr>
          <w:rStyle w:val="loginovrcontent"/>
          <w:rFonts w:ascii="Arial" w:hAnsi="Arial" w:cs="Arial"/>
          <w:vanish/>
          <w:lang w:val="en"/>
        </w:rPr>
        <w:t xml:space="preserve">. Accessed 16 March 2012., M. (2010). Flooding effects on trees. Available at: </w:t>
      </w:r>
      <w:hyperlink w:history="1">
        <w:r>
          <w:rPr>
            <w:rStyle w:val="Hyperlink"/>
            <w:rFonts w:ascii="Arial" w:hAnsi="Arial" w:cs="Arial"/>
            <w:vanish/>
            <w:color w:val="auto"/>
            <w:u w:val="none"/>
            <w:lang w:val="en"/>
          </w:rPr>
          <w:t>http://www.extension.umn.edu/distribution/naturalresources/M1289.html</w:t>
        </w:r>
      </w:hyperlink>
      <w:r>
        <w:rPr>
          <w:rStyle w:val="loginovrcontent"/>
          <w:rFonts w:ascii="Arial" w:hAnsi="Arial" w:cs="Arial"/>
          <w:vanish/>
          <w:lang w:val="en"/>
        </w:rPr>
        <w:t xml:space="preserve">. Accessed 16 March 2012., M. (2010). Flooding effects on trees. Available at: </w:t>
      </w:r>
      <w:hyperlink w:history="1">
        <w:r>
          <w:rPr>
            <w:rStyle w:val="Hyperlink"/>
            <w:rFonts w:ascii="Arial" w:hAnsi="Arial" w:cs="Arial"/>
            <w:vanish/>
            <w:color w:val="auto"/>
            <w:u w:val="none"/>
            <w:lang w:val="en"/>
          </w:rPr>
          <w:t>http://www.extension.umn.edu/distribution/naturalresources/M1289.html</w:t>
        </w:r>
      </w:hyperlink>
      <w:r>
        <w:rPr>
          <w:rStyle w:val="loginovrcontent"/>
          <w:rFonts w:ascii="Arial" w:hAnsi="Arial" w:cs="Arial"/>
          <w:vanish/>
          <w:lang w:val="en"/>
        </w:rPr>
        <w:t>. Accessed 16 March 2012.</w:t>
      </w:r>
    </w:p>
    <w:p w:rsidR="001C0D62" w:rsidRDefault="001C0D62">
      <w:pPr>
        <w:jc w:val="both"/>
        <w:rPr>
          <w:rFonts w:ascii="Arial" w:hAnsi="Arial" w:cs="Arial"/>
        </w:rPr>
      </w:pPr>
      <w:r>
        <w:rPr>
          <w:rFonts w:ascii="Arial" w:hAnsi="Arial" w:cs="Arial"/>
        </w:rPr>
        <w:br/>
        <w:t>Bednarz, Z. &amp; Ptak, J. (1990). The influence of temperature and precipitation on ring widths of oak (</w:t>
      </w:r>
      <w:r>
        <w:rPr>
          <w:rFonts w:ascii="Arial" w:hAnsi="Arial" w:cs="Arial"/>
          <w:i/>
          <w:iCs/>
        </w:rPr>
        <w:t>Quercus robur L</w:t>
      </w:r>
      <w:r>
        <w:rPr>
          <w:rFonts w:ascii="Arial" w:hAnsi="Arial" w:cs="Arial"/>
        </w:rPr>
        <w:t xml:space="preserve">) in the Niepolomice forest near </w:t>
      </w:r>
      <w:smartTag w:uri="urn:schemas-microsoft-com:office:smarttags" w:element="City">
        <w:r>
          <w:rPr>
            <w:rFonts w:ascii="Arial" w:hAnsi="Arial" w:cs="Arial"/>
          </w:rPr>
          <w:t>cracow</w:t>
        </w:r>
      </w:smartTag>
      <w:r>
        <w:rPr>
          <w:rFonts w:ascii="Arial" w:hAnsi="Arial" w:cs="Arial"/>
        </w:rPr>
        <w:t xml:space="preserve">, southern </w:t>
      </w:r>
      <w:smartTag w:uri="urn:schemas-microsoft-com:office:smarttags" w:element="country-region">
        <w:smartTag w:uri="urn:schemas-microsoft-com:office:smarttags" w:element="place">
          <w:r>
            <w:rPr>
              <w:rFonts w:ascii="Arial" w:hAnsi="Arial" w:cs="Arial"/>
            </w:rPr>
            <w:t>Poland</w:t>
          </w:r>
        </w:smartTag>
      </w:smartTag>
      <w:r>
        <w:rPr>
          <w:rFonts w:ascii="Arial" w:hAnsi="Arial" w:cs="Arial"/>
        </w:rPr>
        <w:t xml:space="preserve">, </w:t>
      </w:r>
      <w:r>
        <w:rPr>
          <w:rFonts w:ascii="Arial" w:hAnsi="Arial" w:cs="Arial"/>
          <w:i/>
          <w:iCs/>
        </w:rPr>
        <w:t>Tree-Ring Bulletin</w:t>
      </w:r>
      <w:r>
        <w:rPr>
          <w:rFonts w:ascii="Arial" w:hAnsi="Arial" w:cs="Arial"/>
        </w:rPr>
        <w:t xml:space="preserve">, </w:t>
      </w:r>
      <w:r>
        <w:rPr>
          <w:rFonts w:ascii="Arial" w:hAnsi="Arial" w:cs="Arial"/>
          <w:b/>
          <w:bCs/>
        </w:rPr>
        <w:t>50</w:t>
      </w:r>
      <w:r>
        <w:rPr>
          <w:rFonts w:ascii="Arial" w:hAnsi="Arial" w:cs="Arial"/>
        </w:rPr>
        <w:t>, 1, 1-9.</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Bogino, S., Fernández Nieto, M.J. &amp; Bravo, F. (2009). Climate effect on radial growth of </w:t>
      </w:r>
      <w:r>
        <w:rPr>
          <w:rFonts w:ascii="Arial" w:hAnsi="Arial" w:cs="Arial"/>
          <w:i/>
          <w:iCs/>
        </w:rPr>
        <w:t>Pinus sylvestris</w:t>
      </w:r>
      <w:r>
        <w:rPr>
          <w:rFonts w:ascii="Arial" w:hAnsi="Arial" w:cs="Arial"/>
        </w:rPr>
        <w:t xml:space="preserve"> at its southern and western distribution limits, </w:t>
      </w:r>
      <w:r>
        <w:rPr>
          <w:rFonts w:ascii="Arial" w:hAnsi="Arial" w:cs="Arial"/>
          <w:i/>
          <w:iCs/>
        </w:rPr>
        <w:t>Silva Fennica</w:t>
      </w:r>
      <w:r>
        <w:rPr>
          <w:rFonts w:ascii="Arial" w:hAnsi="Arial" w:cs="Arial"/>
        </w:rPr>
        <w:t xml:space="preserve">, </w:t>
      </w:r>
      <w:r>
        <w:rPr>
          <w:rFonts w:ascii="Arial" w:hAnsi="Arial" w:cs="Arial"/>
          <w:b/>
          <w:bCs/>
        </w:rPr>
        <w:t>43</w:t>
      </w:r>
      <w:r>
        <w:rPr>
          <w:rFonts w:ascii="Arial" w:hAnsi="Arial" w:cs="Arial"/>
        </w:rPr>
        <w:t>, 4, 609-623.</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Bond, B. (2000). Age-related changes in photosynthesis of woody plants, </w:t>
      </w:r>
      <w:r>
        <w:rPr>
          <w:rFonts w:ascii="Arial" w:hAnsi="Arial" w:cs="Arial"/>
          <w:i/>
          <w:iCs/>
        </w:rPr>
        <w:t>Trends in Plant Science</w:t>
      </w:r>
      <w:r>
        <w:rPr>
          <w:rFonts w:ascii="Arial" w:hAnsi="Arial" w:cs="Arial"/>
        </w:rPr>
        <w:t xml:space="preserve">, </w:t>
      </w:r>
      <w:r>
        <w:rPr>
          <w:rFonts w:ascii="Arial" w:hAnsi="Arial" w:cs="Arial"/>
          <w:b/>
          <w:bCs/>
        </w:rPr>
        <w:t>5</w:t>
      </w:r>
      <w:r>
        <w:rPr>
          <w:rFonts w:ascii="Arial" w:hAnsi="Arial" w:cs="Arial"/>
        </w:rPr>
        <w:t>, 349-353.</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Bond, B. &amp; Franklin, J. (2002). Aging in </w:t>
      </w:r>
      <w:smartTag w:uri="urn:schemas-microsoft-com:office:smarttags" w:element="place">
        <w:r>
          <w:rPr>
            <w:rFonts w:ascii="Arial" w:hAnsi="Arial" w:cs="Arial"/>
          </w:rPr>
          <w:t>Pacific Northwest</w:t>
        </w:r>
      </w:smartTag>
      <w:r>
        <w:rPr>
          <w:rFonts w:ascii="Arial" w:hAnsi="Arial" w:cs="Arial"/>
        </w:rPr>
        <w:t xml:space="preserve"> forests: a selection of recent research, </w:t>
      </w:r>
      <w:r>
        <w:rPr>
          <w:rFonts w:ascii="Arial" w:hAnsi="Arial" w:cs="Arial"/>
          <w:i/>
          <w:iCs/>
        </w:rPr>
        <w:t>Tree Physiology</w:t>
      </w:r>
      <w:r>
        <w:rPr>
          <w:rFonts w:ascii="Arial" w:hAnsi="Arial" w:cs="Arial"/>
        </w:rPr>
        <w:t xml:space="preserve">, </w:t>
      </w:r>
      <w:r>
        <w:rPr>
          <w:rFonts w:ascii="Arial" w:hAnsi="Arial" w:cs="Arial"/>
          <w:b/>
          <w:bCs/>
        </w:rPr>
        <w:t>22</w:t>
      </w:r>
      <w:r>
        <w:rPr>
          <w:rFonts w:ascii="Arial" w:hAnsi="Arial" w:cs="Arial"/>
        </w:rPr>
        <w:t>, 73-76.</w:t>
      </w:r>
    </w:p>
    <w:p w:rsidR="001C0D62" w:rsidRDefault="001C0D62">
      <w:pPr>
        <w:jc w:val="both"/>
        <w:rPr>
          <w:rFonts w:ascii="Arial" w:hAnsi="Arial" w:cs="Arial"/>
          <w:highlight w:val="magenta"/>
        </w:rPr>
      </w:pPr>
      <w:r>
        <w:rPr>
          <w:rFonts w:ascii="Arial" w:hAnsi="Arial" w:cs="Arial"/>
        </w:rPr>
        <w:br/>
        <w:t xml:space="preserve">Bortolot, Z. J., Copenheaver, C. A., Longe, R. L. &amp; N.Van Aardt, J. A. (2001). </w:t>
      </w:r>
      <w:r>
        <w:rPr>
          <w:rFonts w:ascii="Arial" w:hAnsi="Arial" w:cs="Arial"/>
          <w:i/>
          <w:iCs/>
        </w:rPr>
        <w:t>Development of a white oak chronology using live trees and a post-Civil War cabin in south-central Virginia</w:t>
      </w:r>
      <w:r>
        <w:rPr>
          <w:rFonts w:ascii="Arial" w:hAnsi="Arial" w:cs="Arial"/>
        </w:rPr>
        <w:t xml:space="preserve">, Tree-Ring Research, </w:t>
      </w:r>
      <w:r>
        <w:rPr>
          <w:rFonts w:ascii="Arial" w:hAnsi="Arial" w:cs="Arial"/>
          <w:b/>
          <w:bCs/>
        </w:rPr>
        <w:t>57</w:t>
      </w:r>
      <w:r>
        <w:rPr>
          <w:rFonts w:ascii="Arial" w:hAnsi="Arial" w:cs="Arial"/>
        </w:rPr>
        <w:t>, 197-203.</w:t>
      </w:r>
    </w:p>
    <w:p w:rsidR="001C0D62" w:rsidRDefault="001C0D62">
      <w:pPr>
        <w:jc w:val="both"/>
        <w:rPr>
          <w:rFonts w:ascii="Arial" w:hAnsi="Arial" w:cs="Arial"/>
          <w:highlight w:val="magenta"/>
        </w:rPr>
      </w:pPr>
    </w:p>
    <w:p w:rsidR="001C0D62" w:rsidRDefault="001C0D62">
      <w:pPr>
        <w:jc w:val="both"/>
        <w:rPr>
          <w:rFonts w:ascii="Arial" w:hAnsi="Arial" w:cs="Arial"/>
        </w:rPr>
      </w:pPr>
      <w:r>
        <w:rPr>
          <w:rFonts w:ascii="Arial" w:hAnsi="Arial" w:cs="Arial"/>
        </w:rPr>
        <w:t xml:space="preserve">Bouriaud, O., Bréda, N., Moguéder, G. &amp; Nepveu, G. (2004). Modelling variability of wood density in beech as affected by ring age, radial growth and climate, </w:t>
      </w:r>
      <w:r>
        <w:rPr>
          <w:rFonts w:ascii="Arial" w:hAnsi="Arial" w:cs="Arial"/>
          <w:i/>
          <w:iCs/>
        </w:rPr>
        <w:t>Trees: Structure &amp; Function</w:t>
      </w:r>
      <w:r>
        <w:rPr>
          <w:rFonts w:ascii="Arial" w:hAnsi="Arial" w:cs="Arial"/>
        </w:rPr>
        <w:t xml:space="preserve">, </w:t>
      </w:r>
      <w:r>
        <w:rPr>
          <w:rFonts w:ascii="Arial" w:hAnsi="Arial" w:cs="Arial"/>
          <w:b/>
          <w:bCs/>
        </w:rPr>
        <w:t>18</w:t>
      </w:r>
      <w:r>
        <w:rPr>
          <w:rFonts w:ascii="Arial" w:hAnsi="Arial" w:cs="Arial"/>
        </w:rPr>
        <w:t>, 3, 264-276.</w:t>
      </w:r>
    </w:p>
    <w:p w:rsidR="001C0D62" w:rsidRDefault="001C0D62">
      <w:pPr>
        <w:jc w:val="both"/>
        <w:rPr>
          <w:rFonts w:ascii="Arial" w:hAnsi="Arial" w:cs="Arial"/>
        </w:rPr>
      </w:pPr>
    </w:p>
    <w:p w:rsidR="001C0D62" w:rsidRDefault="001C0D62">
      <w:pPr>
        <w:jc w:val="both"/>
        <w:rPr>
          <w:rFonts w:ascii="Arial" w:hAnsi="Arial" w:cs="Arial"/>
        </w:rPr>
      </w:pPr>
      <w:smartTag w:uri="urn:schemas-microsoft-com:office:smarttags" w:element="City">
        <w:smartTag w:uri="urn:schemas-microsoft-com:office:smarttags" w:element="place">
          <w:r>
            <w:rPr>
              <w:rFonts w:ascii="Arial" w:hAnsi="Arial" w:cs="Arial"/>
            </w:rPr>
            <w:t>Breda</w:t>
          </w:r>
        </w:smartTag>
      </w:smartTag>
      <w:r>
        <w:rPr>
          <w:rFonts w:ascii="Arial" w:hAnsi="Arial" w:cs="Arial"/>
        </w:rPr>
        <w:t>, N. &amp; Granier, A. (1996). Intra- and interannual variations of transpiration, leaf area index and radial growth of a sessile oak stand (</w:t>
      </w:r>
      <w:r>
        <w:rPr>
          <w:rFonts w:ascii="Arial" w:hAnsi="Arial" w:cs="Arial"/>
          <w:i/>
          <w:iCs/>
        </w:rPr>
        <w:t>Quercus petraea</w:t>
      </w:r>
      <w:r>
        <w:rPr>
          <w:rFonts w:ascii="Arial" w:hAnsi="Arial" w:cs="Arial"/>
        </w:rPr>
        <w:t xml:space="preserve">), </w:t>
      </w:r>
      <w:r>
        <w:rPr>
          <w:rFonts w:ascii="Arial" w:hAnsi="Arial" w:cs="Arial"/>
          <w:i/>
          <w:iCs/>
        </w:rPr>
        <w:t>Annales des Sciences Forestieres</w:t>
      </w:r>
      <w:r>
        <w:rPr>
          <w:rFonts w:ascii="Arial" w:hAnsi="Arial" w:cs="Arial"/>
        </w:rPr>
        <w:t xml:space="preserve">, </w:t>
      </w:r>
      <w:r>
        <w:rPr>
          <w:rFonts w:ascii="Arial" w:hAnsi="Arial" w:cs="Arial"/>
          <w:b/>
          <w:bCs/>
        </w:rPr>
        <w:t>53</w:t>
      </w:r>
      <w:r>
        <w:rPr>
          <w:rFonts w:ascii="Arial" w:hAnsi="Arial" w:cs="Arial"/>
        </w:rPr>
        <w:t>, 2-3, 521-536.</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Briffa, K.R., Osborn, T.J., Schweingruber, F.H., Jones, P.D., Shiyatov, S.G. &amp; Vaganov, E.A. (2002). Tree-ring width and density data around the Northern Hemisphere: Part 1, local and regional climate signals, </w:t>
      </w:r>
      <w:r>
        <w:rPr>
          <w:rFonts w:ascii="Arial" w:hAnsi="Arial" w:cs="Arial"/>
          <w:i/>
          <w:iCs/>
        </w:rPr>
        <w:t>The Holocene</w:t>
      </w:r>
      <w:r>
        <w:rPr>
          <w:rFonts w:ascii="Arial" w:hAnsi="Arial" w:cs="Arial"/>
        </w:rPr>
        <w:t xml:space="preserve">, </w:t>
      </w:r>
      <w:r>
        <w:rPr>
          <w:rFonts w:ascii="Arial" w:hAnsi="Arial" w:cs="Arial"/>
          <w:b/>
          <w:bCs/>
        </w:rPr>
        <w:t>12</w:t>
      </w:r>
      <w:r>
        <w:rPr>
          <w:rFonts w:ascii="Arial" w:hAnsi="Arial" w:cs="Arial"/>
        </w:rPr>
        <w:t>, 6, 737-757.</w:t>
      </w:r>
      <w:r>
        <w:rPr>
          <w:rFonts w:ascii="Arial" w:hAnsi="Arial" w:cs="Arial"/>
        </w:rPr>
        <w:br/>
      </w:r>
      <w:r>
        <w:rPr>
          <w:rFonts w:ascii="Arial" w:hAnsi="Arial" w:cs="Arial"/>
        </w:rPr>
        <w:br/>
        <w:t xml:space="preserve">Broadmeadow, M. S. J., Ray, D. &amp; Samuel, C. J. A. (2005). Climate change and the future for broadleaved tree species in </w:t>
      </w:r>
      <w:smartTag w:uri="urn:schemas-microsoft-com:office:smarttags" w:element="country-region">
        <w:smartTag w:uri="urn:schemas-microsoft-com:office:smarttags" w:element="place">
          <w:r>
            <w:rPr>
              <w:rFonts w:ascii="Arial" w:hAnsi="Arial" w:cs="Arial"/>
            </w:rPr>
            <w:t>Britain</w:t>
          </w:r>
        </w:smartTag>
      </w:smartTag>
      <w:r>
        <w:rPr>
          <w:rFonts w:ascii="Arial" w:hAnsi="Arial" w:cs="Arial"/>
        </w:rPr>
        <w:t xml:space="preserve">, </w:t>
      </w:r>
      <w:r>
        <w:rPr>
          <w:rFonts w:ascii="Arial" w:hAnsi="Arial" w:cs="Arial"/>
          <w:i/>
          <w:iCs/>
        </w:rPr>
        <w:t>Forestry</w:t>
      </w:r>
      <w:r>
        <w:rPr>
          <w:rFonts w:ascii="Arial" w:hAnsi="Arial" w:cs="Arial"/>
        </w:rPr>
        <w:t xml:space="preserve">, </w:t>
      </w:r>
      <w:r>
        <w:rPr>
          <w:rFonts w:ascii="Arial" w:hAnsi="Arial" w:cs="Arial"/>
          <w:b/>
          <w:bCs/>
        </w:rPr>
        <w:t>78</w:t>
      </w:r>
      <w:r>
        <w:rPr>
          <w:rFonts w:ascii="Arial" w:hAnsi="Arial" w:cs="Arial"/>
        </w:rPr>
        <w:t>, 145-161.</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Burdekin, D. (1981). Tree diseases and disorders In: Clouston, B. &amp; Stansfield, K. (eds.) </w:t>
      </w:r>
      <w:r>
        <w:rPr>
          <w:rFonts w:ascii="Arial" w:hAnsi="Arial" w:cs="Arial"/>
          <w:i/>
          <w:iCs/>
        </w:rPr>
        <w:t>Trees in Towns: Maintenance and management</w:t>
      </w:r>
      <w:r>
        <w:rPr>
          <w:rFonts w:ascii="Arial" w:hAnsi="Arial" w:cs="Arial"/>
        </w:rPr>
        <w:t xml:space="preserve">. Architectural Press Ltd, </w:t>
      </w:r>
      <w:smartTag w:uri="urn:schemas-microsoft-com:office:smarttags" w:element="City">
        <w:smartTag w:uri="urn:schemas-microsoft-com:office:smarttags" w:element="place">
          <w:r>
            <w:rPr>
              <w:rFonts w:ascii="Arial" w:hAnsi="Arial" w:cs="Arial"/>
            </w:rPr>
            <w:t>London</w:t>
          </w:r>
        </w:smartTag>
      </w:smartTag>
      <w:r>
        <w:rPr>
          <w:rFonts w:ascii="Arial" w:hAnsi="Arial" w:cs="Arial"/>
        </w:rPr>
        <w:t>, 69-91.</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lang w:val="en"/>
        </w:rPr>
        <w:t xml:space="preserve">Coder, K. D. &amp; Warnell, D. B. (1999). Drought Damage to Trees. </w:t>
      </w:r>
      <w:smartTag w:uri="urn:schemas-microsoft-com:office:smarttags" w:element="PlaceType">
        <w:r>
          <w:rPr>
            <w:rFonts w:ascii="Arial" w:hAnsi="Arial" w:cs="Arial"/>
            <w:lang w:val="en"/>
          </w:rPr>
          <w:t>School</w:t>
        </w:r>
      </w:smartTag>
      <w:r>
        <w:rPr>
          <w:rFonts w:ascii="Arial" w:hAnsi="Arial" w:cs="Arial"/>
          <w:lang w:val="en"/>
        </w:rPr>
        <w:t xml:space="preserve"> of </w:t>
      </w:r>
      <w:smartTag w:uri="urn:schemas-microsoft-com:office:smarttags" w:element="PlaceName">
        <w:r>
          <w:rPr>
            <w:rFonts w:ascii="Arial" w:hAnsi="Arial" w:cs="Arial"/>
            <w:lang w:val="en"/>
          </w:rPr>
          <w:t>Forest</w:t>
        </w:r>
      </w:smartTag>
      <w:r>
        <w:rPr>
          <w:rFonts w:ascii="Arial" w:hAnsi="Arial" w:cs="Arial"/>
          <w:lang w:val="en"/>
        </w:rPr>
        <w:t xml:space="preserve"> Resources, </w:t>
      </w:r>
      <w:smartTag w:uri="urn:schemas-microsoft-com:office:smarttags" w:element="place">
        <w:smartTag w:uri="urn:schemas-microsoft-com:office:smarttags" w:element="PlaceType">
          <w:r>
            <w:rPr>
              <w:rFonts w:ascii="Arial" w:hAnsi="Arial" w:cs="Arial"/>
              <w:lang w:val="en"/>
            </w:rPr>
            <w:t>University</w:t>
          </w:r>
        </w:smartTag>
        <w:r>
          <w:rPr>
            <w:rFonts w:ascii="Arial" w:hAnsi="Arial" w:cs="Arial"/>
            <w:lang w:val="en"/>
          </w:rPr>
          <w:t xml:space="preserve"> of </w:t>
        </w:r>
        <w:smartTag w:uri="urn:schemas-microsoft-com:office:smarttags" w:element="PlaceName">
          <w:r>
            <w:rPr>
              <w:rFonts w:ascii="Arial" w:hAnsi="Arial" w:cs="Arial"/>
              <w:lang w:val="en"/>
            </w:rPr>
            <w:t>Georgia</w:t>
          </w:r>
        </w:smartTag>
      </w:smartTag>
      <w:r>
        <w:rPr>
          <w:rFonts w:ascii="Arial" w:hAnsi="Arial" w:cs="Arial"/>
          <w:lang w:val="en"/>
        </w:rPr>
        <w:t xml:space="preserve"> 4/99.</w:t>
      </w:r>
    </w:p>
    <w:p w:rsidR="001C0D62" w:rsidRDefault="001C0D62">
      <w:pPr>
        <w:jc w:val="both"/>
        <w:rPr>
          <w:rFonts w:ascii="Arial" w:hAnsi="Arial" w:cs="Arial"/>
        </w:rPr>
      </w:pPr>
      <w:r>
        <w:rPr>
          <w:rFonts w:ascii="Arial" w:hAnsi="Arial" w:cs="Arial"/>
        </w:rPr>
        <w:br/>
        <w:t xml:space="preserve">Cook, E.R. &amp; Jacoby, G.C. (1977). Tree-ring drought relationships in the Hudson Valley, New York, </w:t>
      </w:r>
      <w:r>
        <w:rPr>
          <w:rFonts w:ascii="Arial" w:hAnsi="Arial" w:cs="Arial"/>
          <w:i/>
          <w:iCs/>
        </w:rPr>
        <w:t>Science</w:t>
      </w:r>
      <w:r>
        <w:rPr>
          <w:rFonts w:ascii="Arial" w:hAnsi="Arial" w:cs="Arial"/>
        </w:rPr>
        <w:t xml:space="preserve">, </w:t>
      </w:r>
      <w:r>
        <w:rPr>
          <w:rFonts w:ascii="Arial" w:hAnsi="Arial" w:cs="Arial"/>
          <w:i/>
          <w:iCs/>
        </w:rPr>
        <w:t>198</w:t>
      </w:r>
      <w:r>
        <w:rPr>
          <w:rFonts w:ascii="Arial" w:hAnsi="Arial" w:cs="Arial"/>
        </w:rPr>
        <w:t>, 4315, 399-401.</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Corcuera, L. Camarero, J.J. &amp; Gil-Pelegrin, E. (2004). Effects of a severe drought on growth and wood anatomical properties of </w:t>
      </w:r>
      <w:r>
        <w:rPr>
          <w:rFonts w:ascii="Arial" w:hAnsi="Arial" w:cs="Arial"/>
          <w:i/>
          <w:iCs/>
        </w:rPr>
        <w:t>Quercus faginea</w:t>
      </w:r>
      <w:r>
        <w:rPr>
          <w:rFonts w:ascii="Arial" w:hAnsi="Arial" w:cs="Arial"/>
        </w:rPr>
        <w:t xml:space="preserve">, </w:t>
      </w:r>
      <w:r>
        <w:rPr>
          <w:rFonts w:ascii="Arial" w:hAnsi="Arial" w:cs="Arial"/>
          <w:i/>
          <w:iCs/>
        </w:rPr>
        <w:t>IAWA Journal</w:t>
      </w:r>
      <w:r>
        <w:rPr>
          <w:rFonts w:ascii="Arial" w:hAnsi="Arial" w:cs="Arial"/>
        </w:rPr>
        <w:t xml:space="preserve">, </w:t>
      </w:r>
      <w:r>
        <w:rPr>
          <w:rFonts w:ascii="Arial" w:hAnsi="Arial" w:cs="Arial"/>
          <w:b/>
          <w:bCs/>
        </w:rPr>
        <w:t>25</w:t>
      </w:r>
      <w:r>
        <w:rPr>
          <w:rFonts w:ascii="Arial" w:hAnsi="Arial" w:cs="Arial"/>
        </w:rPr>
        <w:t>, 2, 185-204.</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Coultherd, P. (1978). The effect of the 1976 drought on established and recently planted trees is discussed with particular reference to their greater susceptibility to disease and to the fire danger, </w:t>
      </w:r>
      <w:r>
        <w:rPr>
          <w:rFonts w:ascii="Arial" w:hAnsi="Arial" w:cs="Arial"/>
          <w:i/>
          <w:iCs/>
        </w:rPr>
        <w:t>Quarterly Journal of Forestry</w:t>
      </w:r>
      <w:r>
        <w:rPr>
          <w:rFonts w:ascii="Arial" w:hAnsi="Arial" w:cs="Arial"/>
        </w:rPr>
        <w:t xml:space="preserve">, </w:t>
      </w:r>
      <w:r>
        <w:rPr>
          <w:rFonts w:ascii="Arial" w:hAnsi="Arial" w:cs="Arial"/>
          <w:b/>
          <w:bCs/>
        </w:rPr>
        <w:t>72</w:t>
      </w:r>
      <w:r>
        <w:rPr>
          <w:rFonts w:ascii="Arial" w:hAnsi="Arial" w:cs="Arial"/>
        </w:rPr>
        <w:t>, 2, 67-80.</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Creber, G.T. (1977). Tree rings: A natural data-storage system, </w:t>
      </w:r>
      <w:r>
        <w:rPr>
          <w:rFonts w:ascii="Arial" w:hAnsi="Arial" w:cs="Arial"/>
          <w:i/>
          <w:iCs/>
        </w:rPr>
        <w:t>Biological Reviews</w:t>
      </w:r>
      <w:r>
        <w:rPr>
          <w:rFonts w:ascii="Arial" w:hAnsi="Arial" w:cs="Arial"/>
        </w:rPr>
        <w:t xml:space="preserve">, </w:t>
      </w:r>
      <w:r>
        <w:rPr>
          <w:rFonts w:ascii="Arial" w:hAnsi="Arial" w:cs="Arial"/>
          <w:b/>
          <w:bCs/>
        </w:rPr>
        <w:t>52</w:t>
      </w:r>
      <w:r>
        <w:rPr>
          <w:rFonts w:ascii="Arial" w:hAnsi="Arial" w:cs="Arial"/>
        </w:rPr>
        <w:t>, 3, 349-381.</w:t>
      </w:r>
    </w:p>
    <w:p w:rsidR="001C0D62" w:rsidRDefault="001C0D62">
      <w:pPr>
        <w:jc w:val="both"/>
        <w:rPr>
          <w:rFonts w:ascii="Arial" w:hAnsi="Arial" w:cs="Arial"/>
        </w:rPr>
      </w:pPr>
      <w:r>
        <w:rPr>
          <w:rFonts w:ascii="Arial" w:hAnsi="Arial" w:cs="Arial"/>
        </w:rPr>
        <w:t xml:space="preserve"> </w:t>
      </w:r>
      <w:r>
        <w:rPr>
          <w:rFonts w:ascii="Arial" w:hAnsi="Arial" w:cs="Arial"/>
        </w:rPr>
        <w:br/>
        <w:t xml:space="preserve">Čufar, K., Prislan, P., Luis, M. &amp; Gričar, J. (2008). Tree-ring variation, wood formation and phenology of beech (Fagus sylvatica) from a representative site in </w:t>
      </w:r>
      <w:smartTag w:uri="urn:schemas-microsoft-com:office:smarttags" w:element="country-region">
        <w:smartTag w:uri="urn:schemas-microsoft-com:office:smarttags" w:element="place">
          <w:r>
            <w:rPr>
              <w:rFonts w:ascii="Arial" w:hAnsi="Arial" w:cs="Arial"/>
            </w:rPr>
            <w:t>Slovenia</w:t>
          </w:r>
        </w:smartTag>
      </w:smartTag>
      <w:r>
        <w:rPr>
          <w:rFonts w:ascii="Arial" w:hAnsi="Arial" w:cs="Arial"/>
        </w:rPr>
        <w:t xml:space="preserve">, SE Central Europe, </w:t>
      </w:r>
      <w:r>
        <w:rPr>
          <w:rFonts w:ascii="Arial" w:hAnsi="Arial" w:cs="Arial"/>
          <w:i/>
          <w:iCs/>
        </w:rPr>
        <w:t>Trees: Structure &amp; Function</w:t>
      </w:r>
      <w:r>
        <w:rPr>
          <w:rFonts w:ascii="Arial" w:hAnsi="Arial" w:cs="Arial"/>
        </w:rPr>
        <w:t xml:space="preserve">, </w:t>
      </w:r>
      <w:r>
        <w:rPr>
          <w:rFonts w:ascii="Arial" w:hAnsi="Arial" w:cs="Arial"/>
          <w:b/>
          <w:bCs/>
        </w:rPr>
        <w:t>22</w:t>
      </w:r>
      <w:r>
        <w:rPr>
          <w:rFonts w:ascii="Arial" w:hAnsi="Arial" w:cs="Arial"/>
        </w:rPr>
        <w:t>, 6, 749-758.</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D’Arrigo, R. D., Schuster, W. S. F., </w:t>
      </w:r>
      <w:smartTag w:uri="urn:schemas-microsoft-com:office:smarttags" w:element="City">
        <w:smartTag w:uri="urn:schemas-microsoft-com:office:smarttags" w:element="place">
          <w:r>
            <w:rPr>
              <w:rFonts w:ascii="Arial" w:hAnsi="Arial" w:cs="Arial"/>
            </w:rPr>
            <w:t>Lawrence</w:t>
          </w:r>
        </w:smartTag>
      </w:smartTag>
      <w:r>
        <w:rPr>
          <w:rFonts w:ascii="Arial" w:hAnsi="Arial" w:cs="Arial"/>
        </w:rPr>
        <w:t xml:space="preserve">, D. M., Cook, E. R., Wiljanen, M. &amp; Thetford, R. D. (2001). Climate-growth relationships of eastern hemlock and chestnut oak from Black Rock Forest in the highlands of southeastern New York, </w:t>
      </w:r>
      <w:r>
        <w:rPr>
          <w:rFonts w:ascii="Arial" w:hAnsi="Arial" w:cs="Arial"/>
          <w:i/>
          <w:iCs/>
        </w:rPr>
        <w:t>Tree-Ring Research</w:t>
      </w:r>
      <w:r>
        <w:rPr>
          <w:rFonts w:ascii="Arial" w:hAnsi="Arial" w:cs="Arial"/>
        </w:rPr>
        <w:t xml:space="preserve">, </w:t>
      </w:r>
      <w:r>
        <w:rPr>
          <w:rFonts w:ascii="Arial" w:hAnsi="Arial" w:cs="Arial"/>
          <w:b/>
          <w:bCs/>
        </w:rPr>
        <w:t>57</w:t>
      </w:r>
      <w:r>
        <w:rPr>
          <w:rFonts w:ascii="Arial" w:hAnsi="Arial" w:cs="Arial"/>
        </w:rPr>
        <w:t>, 2, 183-190.</w:t>
      </w:r>
    </w:p>
    <w:p w:rsidR="001C0D62" w:rsidRDefault="001C0D62">
      <w:pPr>
        <w:jc w:val="both"/>
        <w:rPr>
          <w:rFonts w:ascii="Arial" w:hAnsi="Arial" w:cs="Arial"/>
        </w:rPr>
      </w:pPr>
    </w:p>
    <w:p w:rsidR="001C0D62" w:rsidRDefault="001C0D62">
      <w:pPr>
        <w:jc w:val="both"/>
        <w:rPr>
          <w:rFonts w:ascii="Arial" w:hAnsi="Arial" w:cs="Arial"/>
        </w:rPr>
      </w:pPr>
      <w:smartTag w:uri="urn:schemas-microsoft-com:office:smarttags" w:element="City">
        <w:smartTag w:uri="urn:schemas-microsoft-com:office:smarttags" w:element="place">
          <w:r>
            <w:rPr>
              <w:rFonts w:ascii="Arial" w:hAnsi="Arial" w:cs="Arial"/>
              <w:lang w:val="en-GB"/>
            </w:rPr>
            <w:t>Edina</w:t>
          </w:r>
        </w:smartTag>
      </w:smartTag>
      <w:r>
        <w:rPr>
          <w:rFonts w:ascii="Arial" w:hAnsi="Arial" w:cs="Arial"/>
          <w:lang w:val="en-GB"/>
        </w:rPr>
        <w:t xml:space="preserve"> Digimap (2012). Digimap Roam. Available at: </w:t>
      </w:r>
      <w:hyperlink r:id="rId52" w:history="1">
        <w:r>
          <w:rPr>
            <w:rStyle w:val="Hyperlink"/>
            <w:rFonts w:ascii="Arial" w:hAnsi="Arial" w:cs="Arial"/>
            <w:color w:val="auto"/>
            <w:u w:val="none"/>
            <w:lang w:val="en-GB"/>
          </w:rPr>
          <w:t>http://digimap.edina.ac.uk/ roam/mapper.html</w:t>
        </w:r>
      </w:hyperlink>
      <w:r>
        <w:rPr>
          <w:rFonts w:ascii="Arial" w:hAnsi="Arial" w:cs="Arial"/>
          <w:lang w:val="en-GB"/>
        </w:rPr>
        <w:t>. Accessed 2 October 2012.</w:t>
      </w:r>
    </w:p>
    <w:p w:rsidR="001C0D62" w:rsidRDefault="001C0D62">
      <w:pPr>
        <w:jc w:val="both"/>
        <w:rPr>
          <w:rFonts w:ascii="Arial" w:hAnsi="Arial" w:cs="Arial"/>
        </w:rPr>
      </w:pPr>
      <w:r>
        <w:rPr>
          <w:rFonts w:ascii="Arial" w:hAnsi="Arial" w:cs="Arial"/>
        </w:rPr>
        <w:br/>
        <w:t xml:space="preserve">Ermich, K. (1953). The influence of climatic conditions on </w:t>
      </w:r>
      <w:r>
        <w:rPr>
          <w:rFonts w:ascii="Arial" w:hAnsi="Arial" w:cs="Arial"/>
          <w:i/>
          <w:iCs/>
        </w:rPr>
        <w:t>Quercus robur</w:t>
      </w:r>
      <w:r>
        <w:rPr>
          <w:rFonts w:ascii="Arial" w:hAnsi="Arial" w:cs="Arial"/>
        </w:rPr>
        <w:t xml:space="preserve"> and </w:t>
      </w:r>
      <w:r>
        <w:rPr>
          <w:rFonts w:ascii="Arial" w:hAnsi="Arial" w:cs="Arial"/>
          <w:i/>
          <w:iCs/>
        </w:rPr>
        <w:t>Pinus sylvestris</w:t>
      </w:r>
      <w:r>
        <w:rPr>
          <w:rFonts w:ascii="Arial" w:hAnsi="Arial" w:cs="Arial"/>
        </w:rPr>
        <w:t xml:space="preserve"> growth, </w:t>
      </w:r>
      <w:r>
        <w:rPr>
          <w:rFonts w:ascii="Arial" w:hAnsi="Arial" w:cs="Arial"/>
          <w:i/>
          <w:iCs/>
        </w:rPr>
        <w:t>Electronic journal of Polish Agricultural Universities</w:t>
      </w:r>
      <w:r>
        <w:rPr>
          <w:rFonts w:ascii="Arial" w:hAnsi="Arial" w:cs="Arial"/>
        </w:rPr>
        <w:t xml:space="preserve">, </w:t>
      </w:r>
      <w:r>
        <w:rPr>
          <w:rFonts w:ascii="Arial" w:hAnsi="Arial" w:cs="Arial"/>
          <w:b/>
          <w:bCs/>
        </w:rPr>
        <w:t>68</w:t>
      </w:r>
      <w:r>
        <w:rPr>
          <w:rFonts w:ascii="Arial" w:hAnsi="Arial" w:cs="Arial"/>
        </w:rPr>
        <w:t>, 1-61.</w:t>
      </w:r>
    </w:p>
    <w:p w:rsidR="001C0D62" w:rsidRDefault="001C0D62">
      <w:pPr>
        <w:jc w:val="both"/>
        <w:rPr>
          <w:rFonts w:ascii="Arial" w:hAnsi="Arial" w:cs="Arial"/>
        </w:rPr>
      </w:pPr>
      <w:r>
        <w:rPr>
          <w:rFonts w:ascii="Arial" w:hAnsi="Arial" w:cs="Arial"/>
        </w:rPr>
        <w:t xml:space="preserve">Ermich, K. (1959). The investigation of the seasonal course of the diameter growth of </w:t>
      </w:r>
      <w:r>
        <w:rPr>
          <w:rFonts w:ascii="Arial" w:hAnsi="Arial" w:cs="Arial"/>
          <w:i/>
          <w:iCs/>
        </w:rPr>
        <w:t>Pinus sylvestris</w:t>
      </w:r>
      <w:r>
        <w:rPr>
          <w:rFonts w:ascii="Arial" w:hAnsi="Arial" w:cs="Arial"/>
        </w:rPr>
        <w:t xml:space="preserve"> </w:t>
      </w:r>
      <w:r>
        <w:rPr>
          <w:rFonts w:ascii="Arial" w:hAnsi="Arial" w:cs="Arial"/>
          <w:i/>
          <w:iCs/>
        </w:rPr>
        <w:t>L</w:t>
      </w:r>
      <w:r>
        <w:rPr>
          <w:rFonts w:ascii="Arial" w:hAnsi="Arial" w:cs="Arial"/>
        </w:rPr>
        <w:t xml:space="preserve">. and </w:t>
      </w:r>
      <w:r>
        <w:rPr>
          <w:rFonts w:ascii="Arial" w:hAnsi="Arial" w:cs="Arial"/>
          <w:i/>
          <w:iCs/>
        </w:rPr>
        <w:t>Quercus robur L.</w:t>
      </w:r>
      <w:r>
        <w:rPr>
          <w:rFonts w:ascii="Arial" w:hAnsi="Arial" w:cs="Arial"/>
        </w:rPr>
        <w:t xml:space="preserve">, </w:t>
      </w:r>
      <w:r>
        <w:rPr>
          <w:rStyle w:val="Emphasis"/>
          <w:rFonts w:ascii="Arial" w:hAnsi="Arial" w:cs="Arial"/>
          <w:i w:val="0"/>
          <w:iCs w:val="0"/>
          <w:lang w:val="en-GB"/>
        </w:rPr>
        <w:t>Acta</w:t>
      </w:r>
      <w:r>
        <w:rPr>
          <w:rStyle w:val="st1"/>
          <w:rFonts w:ascii="Arial" w:hAnsi="Arial" w:cs="Arial"/>
          <w:i/>
          <w:iCs/>
          <w:lang w:val="en-GB"/>
        </w:rPr>
        <w:t xml:space="preserve"> Societatis Botanicorum</w:t>
      </w:r>
      <w:r>
        <w:rPr>
          <w:rStyle w:val="st1"/>
          <w:rFonts w:ascii="Arial" w:hAnsi="Arial" w:cs="Arial"/>
          <w:lang w:val="en-GB"/>
        </w:rPr>
        <w:t xml:space="preserve"> </w:t>
      </w:r>
      <w:r>
        <w:rPr>
          <w:rStyle w:val="Emphasis"/>
          <w:rFonts w:ascii="Arial" w:hAnsi="Arial" w:cs="Arial"/>
          <w:lang w:val="en-GB"/>
        </w:rPr>
        <w:t>Poloniae</w:t>
      </w:r>
      <w:r>
        <w:rPr>
          <w:rFonts w:ascii="Arial" w:hAnsi="Arial" w:cs="Arial"/>
        </w:rPr>
        <w:t xml:space="preserve">, </w:t>
      </w:r>
      <w:r>
        <w:rPr>
          <w:rFonts w:ascii="Arial" w:hAnsi="Arial" w:cs="Arial"/>
          <w:b/>
          <w:bCs/>
        </w:rPr>
        <w:t>28</w:t>
      </w:r>
      <w:r>
        <w:rPr>
          <w:rFonts w:ascii="Arial" w:hAnsi="Arial" w:cs="Arial"/>
        </w:rPr>
        <w:t>, 1, 15-63.</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Esau, K. (1965). </w:t>
      </w:r>
      <w:r>
        <w:rPr>
          <w:rFonts w:ascii="Arial" w:hAnsi="Arial" w:cs="Arial"/>
          <w:i/>
          <w:iCs/>
        </w:rPr>
        <w:t>Plant Anatomy</w:t>
      </w:r>
      <w:r>
        <w:rPr>
          <w:rFonts w:ascii="Arial" w:hAnsi="Arial" w:cs="Arial"/>
        </w:rPr>
        <w:t xml:space="preserve">, John Wiley, </w:t>
      </w:r>
      <w:smartTag w:uri="urn:schemas-microsoft-com:office:smarttags" w:element="State">
        <w:smartTag w:uri="urn:schemas-microsoft-com:office:smarttags" w:element="place">
          <w:r>
            <w:rPr>
              <w:rFonts w:ascii="Arial" w:hAnsi="Arial" w:cs="Arial"/>
            </w:rPr>
            <w:t>New York</w:t>
          </w:r>
        </w:smartTag>
      </w:smartTag>
      <w:r>
        <w:rPr>
          <w:rFonts w:ascii="Arial" w:hAnsi="Arial" w:cs="Arial"/>
        </w:rPr>
        <w:t>. 2</w:t>
      </w:r>
      <w:r>
        <w:rPr>
          <w:rFonts w:ascii="Arial" w:hAnsi="Arial" w:cs="Arial"/>
          <w:vertAlign w:val="superscript"/>
        </w:rPr>
        <w:t>nd</w:t>
      </w:r>
      <w:r>
        <w:rPr>
          <w:rFonts w:ascii="Arial" w:hAnsi="Arial" w:cs="Arial"/>
        </w:rPr>
        <w:t xml:space="preserve"> Edn.</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Fekedulegn, D., Hicks, R.R. Jr &amp; Colbert, J.J. (2002). Influence of topographic aspect, precipitation and drought on radial growth of four major tree species in an Appalachian watershed, </w:t>
      </w:r>
      <w:r>
        <w:rPr>
          <w:rFonts w:ascii="Arial" w:hAnsi="Arial" w:cs="Arial"/>
          <w:i/>
          <w:iCs/>
        </w:rPr>
        <w:t>Forest Ecology and Management</w:t>
      </w:r>
      <w:r>
        <w:rPr>
          <w:rFonts w:ascii="Arial" w:hAnsi="Arial" w:cs="Arial"/>
        </w:rPr>
        <w:t xml:space="preserve">, </w:t>
      </w:r>
      <w:r>
        <w:rPr>
          <w:rFonts w:ascii="Arial" w:hAnsi="Arial" w:cs="Arial"/>
          <w:b/>
          <w:bCs/>
        </w:rPr>
        <w:t>6094</w:t>
      </w:r>
      <w:r>
        <w:rPr>
          <w:rFonts w:ascii="Arial" w:hAnsi="Arial" w:cs="Arial"/>
        </w:rPr>
        <w:t>, 1-17.</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szCs w:val="20"/>
        </w:rPr>
        <w:t xml:space="preserve">Feliksik, E. &amp; Wilczyński, S. (2009). The effect of climate on tree-ring chronologies of native and nonnative tree species growing under homogenous site conditions, </w:t>
      </w:r>
      <w:r>
        <w:rPr>
          <w:rFonts w:ascii="Arial" w:hAnsi="Arial" w:cs="Arial"/>
          <w:i/>
          <w:iCs/>
          <w:szCs w:val="20"/>
        </w:rPr>
        <w:t>Geochronometria</w:t>
      </w:r>
      <w:r>
        <w:rPr>
          <w:rFonts w:ascii="Arial" w:hAnsi="Arial" w:cs="Arial"/>
          <w:szCs w:val="20"/>
        </w:rPr>
        <w:t xml:space="preserve">, </w:t>
      </w:r>
      <w:r>
        <w:rPr>
          <w:rFonts w:ascii="Arial" w:hAnsi="Arial" w:cs="Arial"/>
          <w:b/>
          <w:bCs/>
          <w:szCs w:val="20"/>
        </w:rPr>
        <w:t>33</w:t>
      </w:r>
      <w:r>
        <w:rPr>
          <w:rFonts w:ascii="Arial" w:hAnsi="Arial" w:cs="Arial"/>
          <w:szCs w:val="20"/>
        </w:rPr>
        <w:t>, 49-57.</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Fonti, P. &amp; García-González, </w:t>
      </w:r>
      <w:smartTag w:uri="urn:schemas-microsoft-com:office:smarttags" w:element="place">
        <w:r>
          <w:rPr>
            <w:rFonts w:ascii="Arial" w:hAnsi="Arial" w:cs="Arial"/>
          </w:rPr>
          <w:t>I.</w:t>
        </w:r>
      </w:smartTag>
      <w:r>
        <w:rPr>
          <w:rFonts w:ascii="Arial" w:hAnsi="Arial" w:cs="Arial"/>
        </w:rPr>
        <w:t xml:space="preserve"> (2004). Suitability of chestnut earlywood vessel chronologies for ecological studies, </w:t>
      </w:r>
      <w:r>
        <w:rPr>
          <w:rFonts w:ascii="Arial" w:hAnsi="Arial" w:cs="Arial"/>
          <w:i/>
          <w:iCs/>
        </w:rPr>
        <w:t>New Phytologist</w:t>
      </w:r>
      <w:r>
        <w:rPr>
          <w:rFonts w:ascii="Arial" w:hAnsi="Arial" w:cs="Arial"/>
        </w:rPr>
        <w:t xml:space="preserve">, </w:t>
      </w:r>
      <w:r>
        <w:rPr>
          <w:rFonts w:ascii="Arial" w:hAnsi="Arial" w:cs="Arial"/>
          <w:b/>
          <w:bCs/>
        </w:rPr>
        <w:t>163</w:t>
      </w:r>
      <w:r>
        <w:rPr>
          <w:rFonts w:ascii="Arial" w:hAnsi="Arial" w:cs="Arial"/>
        </w:rPr>
        <w:t>, 1, 77-86.</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Forestry Commission (1997). Census of woodlands and trees 1979-82, </w:t>
      </w:r>
      <w:r>
        <w:rPr>
          <w:rFonts w:ascii="Arial" w:hAnsi="Arial" w:cs="Arial"/>
          <w:i/>
          <w:iCs/>
        </w:rPr>
        <w:t>Forestry Commission Bulletin</w:t>
      </w:r>
      <w:r>
        <w:rPr>
          <w:rFonts w:ascii="Arial" w:hAnsi="Arial" w:cs="Arial"/>
        </w:rPr>
        <w:t xml:space="preserve">, 63, HMSO, </w:t>
      </w:r>
      <w:smartTag w:uri="urn:schemas-microsoft-com:office:smarttags" w:element="City">
        <w:smartTag w:uri="urn:schemas-microsoft-com:office:smarttags" w:element="place">
          <w:r>
            <w:rPr>
              <w:rFonts w:ascii="Arial" w:hAnsi="Arial" w:cs="Arial"/>
            </w:rPr>
            <w:t>London</w:t>
          </w:r>
        </w:smartTag>
      </w:smartTag>
      <w:r>
        <w:rPr>
          <w:rFonts w:ascii="Arial" w:hAnsi="Arial" w:cs="Arial"/>
        </w:rPr>
        <w:t>.</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French Institute of </w:t>
      </w:r>
      <w:smartTag w:uri="urn:schemas-microsoft-com:office:smarttags" w:element="City">
        <w:smartTag w:uri="urn:schemas-microsoft-com:office:smarttags" w:element="place">
          <w:r>
            <w:rPr>
              <w:rFonts w:ascii="Arial" w:hAnsi="Arial" w:cs="Arial"/>
            </w:rPr>
            <w:t>Pondicherry</w:t>
          </w:r>
        </w:smartTag>
      </w:smartTag>
      <w:r>
        <w:rPr>
          <w:rFonts w:ascii="Arial" w:hAnsi="Arial" w:cs="Arial"/>
        </w:rPr>
        <w:t xml:space="preserve"> (2007). </w:t>
      </w:r>
      <w:r>
        <w:rPr>
          <w:rFonts w:ascii="Arial" w:hAnsi="Arial" w:cs="Arial"/>
          <w:szCs w:val="19"/>
          <w:lang w:val="fr-FR"/>
        </w:rPr>
        <w:t xml:space="preserve">Factors affecting tree diameter growth in the tropical dry forest of Mudumalai, India. Available at : </w:t>
      </w:r>
      <w:hyperlink r:id="rId53" w:history="1">
        <w:r>
          <w:rPr>
            <w:rStyle w:val="Hyperlink"/>
            <w:rFonts w:ascii="Arial" w:hAnsi="Arial" w:cs="Arial"/>
            <w:color w:val="auto"/>
            <w:szCs w:val="19"/>
            <w:u w:val="none"/>
            <w:lang w:val="fr-FR"/>
          </w:rPr>
          <w:t>http://www.ifpindia.org/Factors-affecting-tree-diameter-growth.html</w:t>
        </w:r>
      </w:hyperlink>
      <w:r>
        <w:rPr>
          <w:rFonts w:ascii="Arial" w:hAnsi="Arial" w:cs="Arial"/>
          <w:szCs w:val="19"/>
          <w:lang w:val="fr-FR"/>
        </w:rPr>
        <w:t>. Accessed 18 March 2012.</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Frisse, E. (1977). Xylometriche und dendroklimatologische Untersuchungen uber den Einfluss von Temperatur und Niederschlag auf Eichen und Buchen (</w:t>
      </w:r>
      <w:r>
        <w:rPr>
          <w:rFonts w:ascii="Arial" w:hAnsi="Arial" w:cs="Arial"/>
          <w:lang w:val="en"/>
        </w:rPr>
        <w:t>Xylometric and dendroclimatic studies on the impact of temperature and precipitation on oak and beech trees</w:t>
      </w:r>
      <w:r>
        <w:rPr>
          <w:rFonts w:ascii="Arial" w:hAnsi="Arial" w:cs="Arial"/>
        </w:rPr>
        <w:t xml:space="preserve">). Dissertation, </w:t>
      </w:r>
      <w:smartTag w:uri="urn:schemas-microsoft-com:office:smarttags" w:element="place">
        <w:smartTag w:uri="urn:schemas-microsoft-com:office:smarttags" w:element="City">
          <w:r>
            <w:rPr>
              <w:rFonts w:ascii="Arial" w:hAnsi="Arial" w:cs="Arial"/>
            </w:rPr>
            <w:t>University of Hamburg</w:t>
          </w:r>
        </w:smartTag>
        <w:r>
          <w:rPr>
            <w:rFonts w:ascii="Arial" w:hAnsi="Arial" w:cs="Arial"/>
          </w:rPr>
          <w:t xml:space="preserve">, </w:t>
        </w:r>
        <w:smartTag w:uri="urn:schemas-microsoft-com:office:smarttags" w:element="country-region">
          <w:r>
            <w:rPr>
              <w:rFonts w:ascii="Arial" w:hAnsi="Arial" w:cs="Arial"/>
            </w:rPr>
            <w:t>Germany</w:t>
          </w:r>
        </w:smartTag>
      </w:smartTag>
      <w:r>
        <w:rPr>
          <w:rFonts w:ascii="Arial" w:hAnsi="Arial" w:cs="Arial"/>
        </w:rPr>
        <w:t>.</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Fritts, H.C. (1965). Tree-ring evidence for climatic changes in </w:t>
      </w:r>
      <w:smartTag w:uri="urn:schemas-microsoft-com:office:smarttags" w:element="place">
        <w:r>
          <w:rPr>
            <w:rFonts w:ascii="Arial" w:hAnsi="Arial" w:cs="Arial"/>
          </w:rPr>
          <w:t>Western North America</w:t>
        </w:r>
      </w:smartTag>
      <w:r>
        <w:rPr>
          <w:rFonts w:ascii="Arial" w:hAnsi="Arial" w:cs="Arial"/>
        </w:rPr>
        <w:t xml:space="preserve">, </w:t>
      </w:r>
      <w:r>
        <w:rPr>
          <w:rFonts w:ascii="Arial" w:hAnsi="Arial" w:cs="Arial"/>
          <w:i/>
          <w:iCs/>
        </w:rPr>
        <w:t>Monthly Weather Review</w:t>
      </w:r>
      <w:r>
        <w:rPr>
          <w:rFonts w:ascii="Arial" w:hAnsi="Arial" w:cs="Arial"/>
        </w:rPr>
        <w:t xml:space="preserve">, </w:t>
      </w:r>
      <w:r>
        <w:rPr>
          <w:rFonts w:ascii="Arial" w:hAnsi="Arial" w:cs="Arial"/>
          <w:b/>
          <w:bCs/>
        </w:rPr>
        <w:t>93</w:t>
      </w:r>
      <w:r>
        <w:rPr>
          <w:rFonts w:ascii="Arial" w:hAnsi="Arial" w:cs="Arial"/>
        </w:rPr>
        <w:t>, 7, 421-443.</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Fritts, H.C. (1976). </w:t>
      </w:r>
      <w:r>
        <w:rPr>
          <w:rFonts w:ascii="Arial" w:hAnsi="Arial" w:cs="Arial"/>
          <w:i/>
          <w:iCs/>
        </w:rPr>
        <w:t>Tree rings and climate</w:t>
      </w:r>
      <w:r>
        <w:rPr>
          <w:rFonts w:ascii="Arial" w:hAnsi="Arial" w:cs="Arial"/>
        </w:rPr>
        <w:t xml:space="preserve">. Academic Press, </w:t>
      </w:r>
      <w:smartTag w:uri="urn:schemas-microsoft-com:office:smarttags" w:element="City">
        <w:smartTag w:uri="urn:schemas-microsoft-com:office:smarttags" w:element="place">
          <w:r>
            <w:rPr>
              <w:rFonts w:ascii="Arial" w:hAnsi="Arial" w:cs="Arial"/>
            </w:rPr>
            <w:t>London</w:t>
          </w:r>
        </w:smartTag>
      </w:smartTag>
      <w:r>
        <w:rPr>
          <w:rFonts w:ascii="Arial" w:hAnsi="Arial" w:cs="Arial"/>
        </w:rPr>
        <w:t>.</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Fritts, H.C., Lofgren, G.R. &amp; Gordon, G.A. (1980). Past climate reconstructed from tree-rings, </w:t>
      </w:r>
      <w:r>
        <w:rPr>
          <w:rFonts w:ascii="Arial" w:hAnsi="Arial" w:cs="Arial"/>
          <w:i/>
          <w:iCs/>
        </w:rPr>
        <w:t>Journal of Interdisciplinary History</w:t>
      </w:r>
      <w:r>
        <w:rPr>
          <w:rFonts w:ascii="Arial" w:hAnsi="Arial" w:cs="Arial"/>
        </w:rPr>
        <w:t xml:space="preserve">, </w:t>
      </w:r>
      <w:r>
        <w:rPr>
          <w:rFonts w:ascii="Arial" w:hAnsi="Arial" w:cs="Arial"/>
          <w:b/>
          <w:bCs/>
        </w:rPr>
        <w:t>10</w:t>
      </w:r>
      <w:r>
        <w:rPr>
          <w:rFonts w:ascii="Arial" w:hAnsi="Arial" w:cs="Arial"/>
        </w:rPr>
        <w:t>, 4, 773-793.</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Fritts, H.C., Smith, D.G., Cardis, </w:t>
      </w:r>
      <w:smartTag w:uri="urn:schemas-microsoft-com:office:smarttags" w:element="place">
        <w:smartTag w:uri="urn:schemas-microsoft-com:office:smarttags" w:element="City">
          <w:r>
            <w:rPr>
              <w:rFonts w:ascii="Arial" w:hAnsi="Arial" w:cs="Arial"/>
            </w:rPr>
            <w:t>J.W.</w:t>
          </w:r>
        </w:smartTag>
        <w:r>
          <w:rPr>
            <w:rFonts w:ascii="Arial" w:hAnsi="Arial" w:cs="Arial"/>
          </w:rPr>
          <w:t xml:space="preserve"> </w:t>
        </w:r>
        <w:smartTag w:uri="urn:schemas-microsoft-com:office:smarttags" w:element="State">
          <w:r>
            <w:rPr>
              <w:rFonts w:ascii="Arial" w:hAnsi="Arial" w:cs="Arial"/>
            </w:rPr>
            <w:t>&amp;</w:t>
          </w:r>
        </w:smartTag>
        <w:r>
          <w:rPr>
            <w:rFonts w:ascii="Arial" w:hAnsi="Arial" w:cs="Arial"/>
          </w:rPr>
          <w:t xml:space="preserve"> </w:t>
        </w:r>
        <w:smartTag w:uri="urn:schemas-microsoft-com:office:smarttags" w:element="State">
          <w:r>
            <w:rPr>
              <w:rFonts w:ascii="Arial" w:hAnsi="Arial" w:cs="Arial"/>
            </w:rPr>
            <w:t>Budelsky</w:t>
          </w:r>
        </w:smartTag>
        <w:r>
          <w:rPr>
            <w:rFonts w:ascii="Arial" w:hAnsi="Arial" w:cs="Arial"/>
          </w:rPr>
          <w:t xml:space="preserve">, </w:t>
        </w:r>
        <w:smartTag w:uri="urn:schemas-microsoft-com:office:smarttags" w:element="country-region">
          <w:r>
            <w:rPr>
              <w:rFonts w:ascii="Arial" w:hAnsi="Arial" w:cs="Arial"/>
            </w:rPr>
            <w:t>C.A.</w:t>
          </w:r>
        </w:smartTag>
      </w:smartTag>
      <w:r>
        <w:rPr>
          <w:rFonts w:ascii="Arial" w:hAnsi="Arial" w:cs="Arial"/>
        </w:rPr>
        <w:t xml:space="preserve"> (1965a). Tree-ring characteristics along a vegetational Gradient in </w:t>
      </w:r>
      <w:smartTag w:uri="urn:schemas-microsoft-com:office:smarttags" w:element="place">
        <w:r>
          <w:rPr>
            <w:rFonts w:ascii="Arial" w:hAnsi="Arial" w:cs="Arial"/>
          </w:rPr>
          <w:t>Northern Arizona</w:t>
        </w:r>
      </w:smartTag>
      <w:r>
        <w:rPr>
          <w:rFonts w:ascii="Arial" w:hAnsi="Arial" w:cs="Arial"/>
        </w:rPr>
        <w:t xml:space="preserve">, </w:t>
      </w:r>
      <w:r>
        <w:rPr>
          <w:rFonts w:ascii="Arial" w:hAnsi="Arial" w:cs="Arial"/>
          <w:i/>
          <w:iCs/>
        </w:rPr>
        <w:t>Ecology</w:t>
      </w:r>
      <w:r>
        <w:rPr>
          <w:rFonts w:ascii="Arial" w:hAnsi="Arial" w:cs="Arial"/>
        </w:rPr>
        <w:t xml:space="preserve">, </w:t>
      </w:r>
      <w:r>
        <w:rPr>
          <w:rFonts w:ascii="Arial" w:hAnsi="Arial" w:cs="Arial"/>
          <w:b/>
          <w:bCs/>
        </w:rPr>
        <w:t>46</w:t>
      </w:r>
      <w:r>
        <w:rPr>
          <w:rFonts w:ascii="Arial" w:hAnsi="Arial" w:cs="Arial"/>
        </w:rPr>
        <w:t>, 4, 393-401.</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Fritts, H.C., Smith, D.G. &amp; Stokes, M.A. (1965b). The Biological Model for Paleoclimatic Interpretation of Mesa Verde tree-ring series, </w:t>
      </w:r>
      <w:r>
        <w:rPr>
          <w:rFonts w:ascii="Arial" w:hAnsi="Arial" w:cs="Arial"/>
          <w:i/>
          <w:iCs/>
        </w:rPr>
        <w:t>Memoir of the Society for American Archaeology</w:t>
      </w:r>
      <w:r>
        <w:rPr>
          <w:rFonts w:ascii="Arial" w:hAnsi="Arial" w:cs="Arial"/>
        </w:rPr>
        <w:t xml:space="preserve">, </w:t>
      </w:r>
      <w:r>
        <w:rPr>
          <w:rFonts w:ascii="Arial" w:hAnsi="Arial" w:cs="Arial"/>
          <w:b/>
          <w:bCs/>
        </w:rPr>
        <w:t>19</w:t>
      </w:r>
      <w:r>
        <w:rPr>
          <w:rFonts w:ascii="Arial" w:hAnsi="Arial" w:cs="Arial"/>
        </w:rPr>
        <w:t xml:space="preserve">, 101-121. </w:t>
      </w:r>
    </w:p>
    <w:p w:rsidR="001C0D62" w:rsidRDefault="001C0D62">
      <w:pPr>
        <w:jc w:val="both"/>
        <w:rPr>
          <w:rFonts w:ascii="Arial" w:hAnsi="Arial" w:cs="Arial"/>
        </w:rPr>
      </w:pPr>
      <w:r>
        <w:rPr>
          <w:rFonts w:ascii="Arial" w:hAnsi="Arial" w:cs="Arial"/>
          <w:szCs w:val="26"/>
        </w:rPr>
        <w:t>García-Suárez</w:t>
      </w:r>
      <w:r>
        <w:rPr>
          <w:rFonts w:ascii="Arial" w:hAnsi="Arial" w:cs="Arial"/>
          <w:szCs w:val="17"/>
        </w:rPr>
        <w:t xml:space="preserve">, A.M., </w:t>
      </w:r>
      <w:smartTag w:uri="urn:schemas-microsoft-com:office:smarttags" w:element="City">
        <w:smartTag w:uri="urn:schemas-microsoft-com:office:smarttags" w:element="place">
          <w:r>
            <w:rPr>
              <w:rFonts w:ascii="Arial" w:hAnsi="Arial" w:cs="Arial"/>
              <w:szCs w:val="26"/>
            </w:rPr>
            <w:t>Butler</w:t>
          </w:r>
        </w:smartTag>
      </w:smartTag>
      <w:r>
        <w:rPr>
          <w:rFonts w:ascii="Arial" w:hAnsi="Arial" w:cs="Arial"/>
          <w:szCs w:val="26"/>
        </w:rPr>
        <w:t xml:space="preserve">, C.J. &amp; Baillie, M.G.L. (2009). </w:t>
      </w:r>
      <w:r>
        <w:rPr>
          <w:rFonts w:ascii="Arial" w:hAnsi="Arial" w:cs="Arial"/>
          <w:szCs w:val="32"/>
        </w:rPr>
        <w:t xml:space="preserve">Climate signal in tree-ring chronologies in a temperate climate: A multi-species approach, </w:t>
      </w:r>
      <w:r>
        <w:rPr>
          <w:rFonts w:ascii="Arial" w:hAnsi="Arial" w:cs="Arial"/>
          <w:szCs w:val="16"/>
        </w:rPr>
        <w:t xml:space="preserve">Dendrochronologia, </w:t>
      </w:r>
      <w:r>
        <w:rPr>
          <w:rFonts w:ascii="Arial" w:hAnsi="Arial" w:cs="Arial"/>
          <w:b/>
          <w:bCs/>
          <w:szCs w:val="16"/>
        </w:rPr>
        <w:t>27</w:t>
      </w:r>
      <w:r>
        <w:rPr>
          <w:rFonts w:ascii="Arial" w:hAnsi="Arial" w:cs="Arial"/>
          <w:szCs w:val="16"/>
        </w:rPr>
        <w:t>, 183-198.</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lang w:val="en-GB"/>
        </w:rPr>
        <w:t xml:space="preserve">Grissino-Mayer, H.D. (2003). A manual and tutorial for the proper use of an increment borer, </w:t>
      </w:r>
      <w:r>
        <w:rPr>
          <w:rFonts w:ascii="Arial" w:hAnsi="Arial" w:cs="Arial"/>
          <w:i/>
          <w:iCs/>
          <w:lang w:val="en-GB"/>
        </w:rPr>
        <w:t>Tree-Ring Research</w:t>
      </w:r>
      <w:r>
        <w:rPr>
          <w:rFonts w:ascii="Arial" w:hAnsi="Arial" w:cs="Arial"/>
          <w:lang w:val="en-GB"/>
        </w:rPr>
        <w:t xml:space="preserve">, </w:t>
      </w:r>
      <w:r>
        <w:rPr>
          <w:rFonts w:ascii="Arial" w:hAnsi="Arial" w:cs="Arial"/>
          <w:b/>
          <w:bCs/>
          <w:lang w:val="en-GB"/>
        </w:rPr>
        <w:t>59</w:t>
      </w:r>
      <w:r>
        <w:rPr>
          <w:rFonts w:ascii="Arial" w:hAnsi="Arial" w:cs="Arial"/>
          <w:lang w:val="en-GB"/>
        </w:rPr>
        <w:t>, 2, 63-79.</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Grissino-Mayer, H.D. (n.d.). History of Dendrochronology. Available at: file:///C:/Documents%20and%20Settings/User/Local%20Settings/Temporary%20Internet%20Files/Content.IE5/7UK28404/dendro%2520history%5B1%5D.ppt#427,1,Slide 1.html. Accessed 10 September 2012.</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Grissino-Mayer, H.D. (2010). Principles of Dendrochronology. Available at: </w:t>
      </w:r>
      <w:hyperlink r:id="rId54" w:history="1">
        <w:r>
          <w:rPr>
            <w:rStyle w:val="Hyperlink"/>
            <w:rFonts w:ascii="Arial" w:hAnsi="Arial" w:cs="Arial"/>
            <w:color w:val="auto"/>
            <w:u w:val="none"/>
          </w:rPr>
          <w:t>http://web.utk.edu/~grissino/principles.html</w:t>
        </w:r>
      </w:hyperlink>
      <w:r>
        <w:rPr>
          <w:rFonts w:ascii="Arial" w:hAnsi="Arial" w:cs="Arial"/>
        </w:rPr>
        <w:t>. Accessed 10 September 2012.</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Hughes, M.K. (2002). Dendrochronology in climatology – the state of the art, </w:t>
      </w:r>
      <w:r>
        <w:rPr>
          <w:rFonts w:ascii="Arial" w:hAnsi="Arial" w:cs="Arial"/>
          <w:i/>
          <w:iCs/>
        </w:rPr>
        <w:t>Dendrochronologia</w:t>
      </w:r>
      <w:r>
        <w:rPr>
          <w:rFonts w:ascii="Arial" w:hAnsi="Arial" w:cs="Arial"/>
        </w:rPr>
        <w:t xml:space="preserve">, </w:t>
      </w:r>
      <w:r>
        <w:rPr>
          <w:rFonts w:ascii="Arial" w:hAnsi="Arial" w:cs="Arial"/>
          <w:b/>
          <w:bCs/>
        </w:rPr>
        <w:t>20</w:t>
      </w:r>
      <w:r>
        <w:rPr>
          <w:rFonts w:ascii="Arial" w:hAnsi="Arial" w:cs="Arial"/>
        </w:rPr>
        <w:t>, 1-2, 95-116.</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Hughes, M.K., Kelly, P.M., Pilcher, J.R. &amp; LaMarche, V.C. (1982). </w:t>
      </w:r>
      <w:r>
        <w:rPr>
          <w:rFonts w:ascii="Arial" w:hAnsi="Arial" w:cs="Arial"/>
          <w:i/>
          <w:iCs/>
        </w:rPr>
        <w:t>Climate from tree rings</w:t>
      </w:r>
      <w:r>
        <w:rPr>
          <w:rFonts w:ascii="Arial" w:hAnsi="Arial" w:cs="Arial"/>
        </w:rPr>
        <w:t xml:space="preserve">. </w:t>
      </w:r>
      <w:smartTag w:uri="urn:schemas-microsoft-com:office:smarttags" w:element="PlaceName">
        <w:r>
          <w:rPr>
            <w:rFonts w:ascii="Arial" w:hAnsi="Arial" w:cs="Arial"/>
          </w:rPr>
          <w:t>Cambridge</w:t>
        </w:r>
      </w:smartTag>
      <w:r>
        <w:rPr>
          <w:rFonts w:ascii="Arial" w:hAnsi="Arial" w:cs="Arial"/>
        </w:rPr>
        <w:t xml:space="preserve"> </w:t>
      </w:r>
      <w:smartTag w:uri="urn:schemas-microsoft-com:office:smarttags" w:element="PlaceType">
        <w:r>
          <w:rPr>
            <w:rFonts w:ascii="Arial" w:hAnsi="Arial" w:cs="Arial"/>
          </w:rPr>
          <w:t>University</w:t>
        </w:r>
      </w:smartTag>
      <w:r>
        <w:rPr>
          <w:rFonts w:ascii="Arial" w:hAnsi="Arial" w:cs="Arial"/>
        </w:rPr>
        <w:t xml:space="preserve"> Press, </w:t>
      </w:r>
      <w:smartTag w:uri="urn:schemas-microsoft-com:office:smarttags" w:element="City">
        <w:smartTag w:uri="urn:schemas-microsoft-com:office:smarttags" w:element="place">
          <w:r>
            <w:rPr>
              <w:rFonts w:ascii="Arial" w:hAnsi="Arial" w:cs="Arial"/>
            </w:rPr>
            <w:t>Cambridge</w:t>
          </w:r>
        </w:smartTag>
      </w:smartTag>
      <w:r>
        <w:rPr>
          <w:rFonts w:ascii="Arial" w:hAnsi="Arial" w:cs="Arial"/>
        </w:rPr>
        <w:t>.</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lang w:val="en-GB"/>
        </w:rPr>
        <w:t xml:space="preserve">Jozsa, L. (1988). Increment core sampling techniques for high quality cores. Available at: </w:t>
      </w:r>
      <w:hyperlink r:id="rId55" w:history="1">
        <w:r>
          <w:rPr>
            <w:rStyle w:val="Hyperlink"/>
            <w:rFonts w:ascii="Arial" w:hAnsi="Arial" w:cs="Arial"/>
            <w:color w:val="auto"/>
            <w:u w:val="none"/>
            <w:lang w:val="en-GB"/>
          </w:rPr>
          <w:t>http://www.u.arizona.edu/~dgriffin/misc/increment_core_sampling. pdf.html</w:t>
        </w:r>
      </w:hyperlink>
      <w:r>
        <w:rPr>
          <w:rFonts w:ascii="Arial" w:hAnsi="Arial" w:cs="Arial"/>
          <w:lang w:val="en-GB"/>
        </w:rPr>
        <w:t>. Accessed 8 January 2013.</w:t>
      </w:r>
    </w:p>
    <w:p w:rsidR="001C0D62" w:rsidRDefault="001C0D62">
      <w:pPr>
        <w:jc w:val="both"/>
        <w:rPr>
          <w:rFonts w:ascii="Arial" w:hAnsi="Arial" w:cs="Arial"/>
          <w:szCs w:val="18"/>
        </w:rPr>
      </w:pPr>
    </w:p>
    <w:p w:rsidR="001C0D62" w:rsidRDefault="001C0D62">
      <w:pPr>
        <w:jc w:val="both"/>
        <w:rPr>
          <w:rFonts w:ascii="Arial" w:hAnsi="Arial" w:cs="Arial"/>
          <w:szCs w:val="18"/>
        </w:rPr>
      </w:pPr>
      <w:r>
        <w:rPr>
          <w:rFonts w:ascii="Arial" w:hAnsi="Arial" w:cs="Arial"/>
          <w:szCs w:val="18"/>
        </w:rPr>
        <w:t xml:space="preserve">Kasson, M.T. &amp; Livingston, W.H. (2012). Relationships among beech bark disease, climate, radial growth response and mortality of American beech in northern </w:t>
      </w:r>
      <w:smartTag w:uri="urn:schemas-microsoft-com:office:smarttags" w:element="State">
        <w:r>
          <w:rPr>
            <w:rFonts w:ascii="Arial" w:hAnsi="Arial" w:cs="Arial"/>
            <w:szCs w:val="18"/>
          </w:rPr>
          <w:t>Maine</w:t>
        </w:r>
      </w:smartTag>
      <w:r>
        <w:rPr>
          <w:rFonts w:ascii="Arial" w:hAnsi="Arial" w:cs="Arial"/>
          <w:szCs w:val="18"/>
        </w:rPr>
        <w:t xml:space="preserve">, </w:t>
      </w:r>
      <w:smartTag w:uri="urn:schemas-microsoft-com:office:smarttags" w:element="country-region">
        <w:smartTag w:uri="urn:schemas-microsoft-com:office:smarttags" w:element="place">
          <w:r>
            <w:rPr>
              <w:rFonts w:ascii="Arial" w:hAnsi="Arial" w:cs="Arial"/>
              <w:szCs w:val="18"/>
            </w:rPr>
            <w:t>USA</w:t>
          </w:r>
        </w:smartTag>
      </w:smartTag>
      <w:r>
        <w:rPr>
          <w:rFonts w:ascii="Arial" w:hAnsi="Arial" w:cs="Arial"/>
          <w:szCs w:val="18"/>
        </w:rPr>
        <w:t xml:space="preserve">, </w:t>
      </w:r>
      <w:r>
        <w:rPr>
          <w:rFonts w:ascii="Arial" w:hAnsi="Arial" w:cs="Arial"/>
          <w:i/>
          <w:iCs/>
          <w:szCs w:val="18"/>
        </w:rPr>
        <w:t>Forest Pathology</w:t>
      </w:r>
      <w:r>
        <w:rPr>
          <w:rFonts w:ascii="Arial" w:hAnsi="Arial" w:cs="Arial"/>
          <w:szCs w:val="18"/>
        </w:rPr>
        <w:t xml:space="preserve">, </w:t>
      </w:r>
      <w:r>
        <w:rPr>
          <w:rFonts w:ascii="Arial" w:hAnsi="Arial" w:cs="Arial"/>
          <w:b/>
          <w:bCs/>
          <w:szCs w:val="18"/>
        </w:rPr>
        <w:t>42</w:t>
      </w:r>
      <w:r>
        <w:rPr>
          <w:rFonts w:ascii="Arial" w:hAnsi="Arial" w:cs="Arial"/>
          <w:szCs w:val="18"/>
        </w:rPr>
        <w:t>, 3, 199-212.</w:t>
      </w:r>
    </w:p>
    <w:p w:rsidR="001C0D62" w:rsidRDefault="001C0D62">
      <w:pPr>
        <w:jc w:val="both"/>
        <w:rPr>
          <w:rFonts w:ascii="Arial" w:hAnsi="Arial" w:cs="Arial"/>
          <w:szCs w:val="18"/>
        </w:rPr>
      </w:pPr>
    </w:p>
    <w:p w:rsidR="001C0D62" w:rsidRDefault="001C0D62">
      <w:pPr>
        <w:jc w:val="both"/>
        <w:rPr>
          <w:rFonts w:ascii="Arial" w:hAnsi="Arial" w:cs="Arial"/>
          <w:szCs w:val="18"/>
        </w:rPr>
      </w:pPr>
      <w:r>
        <w:rPr>
          <w:rFonts w:ascii="Arial" w:hAnsi="Arial" w:cs="Arial"/>
          <w:szCs w:val="22"/>
        </w:rPr>
        <w:t xml:space="preserve">Kirchhefer, A. J. (2000). The influence of slope aspect on three-ring growth of </w:t>
      </w:r>
      <w:r>
        <w:rPr>
          <w:rFonts w:ascii="Arial" w:hAnsi="Arial" w:cs="Arial"/>
          <w:i/>
          <w:iCs/>
          <w:szCs w:val="22"/>
        </w:rPr>
        <w:t>Pinus sylvestris</w:t>
      </w:r>
      <w:r>
        <w:rPr>
          <w:rFonts w:ascii="Arial" w:hAnsi="Arial" w:cs="Arial"/>
          <w:szCs w:val="22"/>
        </w:rPr>
        <w:t xml:space="preserve"> L. in </w:t>
      </w:r>
      <w:smartTag w:uri="urn:schemas-microsoft-com:office:smarttags" w:element="place">
        <w:r>
          <w:rPr>
            <w:rFonts w:ascii="Arial" w:hAnsi="Arial" w:cs="Arial"/>
            <w:szCs w:val="22"/>
          </w:rPr>
          <w:t>Northern Norway</w:t>
        </w:r>
      </w:smartTag>
      <w:r>
        <w:rPr>
          <w:rFonts w:ascii="Arial" w:hAnsi="Arial" w:cs="Arial"/>
          <w:szCs w:val="22"/>
        </w:rPr>
        <w:t xml:space="preserve"> and it’s implications for climate reconstructions. Available at: </w:t>
      </w:r>
      <w:hyperlink r:id="rId56" w:history="1">
        <w:r>
          <w:rPr>
            <w:rStyle w:val="Hyperlink"/>
            <w:rFonts w:ascii="Arial" w:hAnsi="Arial" w:cs="Arial"/>
            <w:color w:val="auto"/>
            <w:szCs w:val="22"/>
            <w:u w:val="none"/>
          </w:rPr>
          <w:t>http://munin.uit.no/bitstream/handle/10037/</w:t>
        </w:r>
        <w:r>
          <w:rPr>
            <w:rStyle w:val="Hyperlink"/>
            <w:rFonts w:ascii="Arial" w:hAnsi="Arial" w:cs="Arial"/>
            <w:color w:val="auto"/>
            <w:szCs w:val="22"/>
            <w:u w:val="none"/>
          </w:rPr>
          <w:t>2412/ paper_3.pdf?sequence=1.html</w:t>
        </w:r>
      </w:hyperlink>
      <w:r>
        <w:rPr>
          <w:rFonts w:ascii="Arial" w:hAnsi="Arial" w:cs="Arial"/>
          <w:szCs w:val="22"/>
        </w:rPr>
        <w:t>. Accessed 18 July 2012.</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LaMarche, V.C. &amp; Fritts, H.C. (1971). Anomaly patterns of climate over the </w:t>
      </w:r>
      <w:smartTag w:uri="urn:schemas-microsoft-com:office:smarttags" w:element="place">
        <w:r>
          <w:rPr>
            <w:rFonts w:ascii="Arial" w:hAnsi="Arial" w:cs="Arial"/>
          </w:rPr>
          <w:t>Western United States</w:t>
        </w:r>
      </w:smartTag>
      <w:r>
        <w:rPr>
          <w:rFonts w:ascii="Arial" w:hAnsi="Arial" w:cs="Arial"/>
        </w:rPr>
        <w:t xml:space="preserve">, 1700-1930, derived from principle component analysis of tree-ring data, </w:t>
      </w:r>
      <w:r>
        <w:rPr>
          <w:rFonts w:ascii="Arial" w:hAnsi="Arial" w:cs="Arial"/>
          <w:i/>
          <w:iCs/>
        </w:rPr>
        <w:t>Monthly Weather Review</w:t>
      </w:r>
      <w:r>
        <w:rPr>
          <w:rFonts w:ascii="Arial" w:hAnsi="Arial" w:cs="Arial"/>
        </w:rPr>
        <w:t xml:space="preserve">, </w:t>
      </w:r>
      <w:r>
        <w:rPr>
          <w:rFonts w:ascii="Arial" w:hAnsi="Arial" w:cs="Arial"/>
          <w:b/>
          <w:bCs/>
        </w:rPr>
        <w:t>99</w:t>
      </w:r>
      <w:r>
        <w:rPr>
          <w:rFonts w:ascii="Arial" w:hAnsi="Arial" w:cs="Arial"/>
        </w:rPr>
        <w:t>, 2, 138-142.</w:t>
      </w:r>
    </w:p>
    <w:p w:rsidR="001C0D62" w:rsidRDefault="001C0D62">
      <w:pPr>
        <w:jc w:val="both"/>
        <w:rPr>
          <w:rFonts w:ascii="Arial" w:hAnsi="Arial" w:cs="Arial"/>
        </w:rPr>
      </w:pPr>
    </w:p>
    <w:p w:rsidR="001C0D62" w:rsidRDefault="001C0D62">
      <w:pPr>
        <w:jc w:val="both"/>
        <w:rPr>
          <w:rFonts w:ascii="Arial" w:hAnsi="Arial" w:cs="Arial"/>
        </w:rPr>
      </w:pPr>
      <w:smartTag w:uri="urn:schemas-microsoft-com:office:smarttags" w:element="place">
        <w:r>
          <w:rPr>
            <w:rFonts w:ascii="Arial" w:hAnsi="Arial" w:cs="Arial"/>
          </w:rPr>
          <w:t>Lancashire</w:t>
        </w:r>
      </w:smartTag>
      <w:r>
        <w:rPr>
          <w:rFonts w:ascii="Arial" w:hAnsi="Arial" w:cs="Arial"/>
        </w:rPr>
        <w:t xml:space="preserve"> County Council (2013). </w:t>
      </w:r>
      <w:r>
        <w:rPr>
          <w:rStyle w:val="Strong"/>
          <w:rFonts w:ascii="Arial" w:hAnsi="Arial" w:cs="Arial"/>
          <w:b w:val="0"/>
          <w:bCs w:val="0"/>
          <w:szCs w:val="18"/>
          <w:lang w:val="en"/>
        </w:rPr>
        <w:t xml:space="preserve">MARIO (Maps &amp; Related Information Online). Available at: </w:t>
      </w:r>
      <w:hyperlink r:id="rId57" w:history="1">
        <w:r>
          <w:rPr>
            <w:rStyle w:val="Hyperlink"/>
            <w:rFonts w:ascii="Arial" w:hAnsi="Arial" w:cs="Arial"/>
            <w:color w:val="auto"/>
            <w:szCs w:val="18"/>
            <w:u w:val="none"/>
            <w:lang w:val="en"/>
          </w:rPr>
          <w:t>http://mario.lancashire.gov.uk/agsmario/.html</w:t>
        </w:r>
      </w:hyperlink>
      <w:r>
        <w:rPr>
          <w:rStyle w:val="Strong"/>
          <w:rFonts w:ascii="Arial" w:hAnsi="Arial" w:cs="Arial"/>
          <w:b w:val="0"/>
          <w:bCs w:val="0"/>
          <w:szCs w:val="18"/>
          <w:lang w:val="en"/>
        </w:rPr>
        <w:t>. Accessed 7 January 2013.</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Lebourgeois, F., Bréda, N., Ulrich, E. &amp; Granier, A. (2005). Climate-tree-growth relationships of European beech (</w:t>
      </w:r>
      <w:r>
        <w:rPr>
          <w:rFonts w:ascii="Arial" w:hAnsi="Arial" w:cs="Arial"/>
          <w:i/>
          <w:iCs/>
        </w:rPr>
        <w:t>Fagus sylvatica L.</w:t>
      </w:r>
      <w:r>
        <w:rPr>
          <w:rFonts w:ascii="Arial" w:hAnsi="Arial" w:cs="Arial"/>
        </w:rPr>
        <w:t xml:space="preserve">) in the French Permanent Plot Network (RENECOFOR), </w:t>
      </w:r>
      <w:r>
        <w:rPr>
          <w:rFonts w:ascii="Arial" w:hAnsi="Arial" w:cs="Arial"/>
          <w:i/>
          <w:iCs/>
        </w:rPr>
        <w:t>Trees</w:t>
      </w:r>
      <w:r>
        <w:rPr>
          <w:rFonts w:ascii="Arial" w:hAnsi="Arial" w:cs="Arial"/>
        </w:rPr>
        <w:t xml:space="preserve">, </w:t>
      </w:r>
      <w:r>
        <w:rPr>
          <w:rFonts w:ascii="Arial" w:hAnsi="Arial" w:cs="Arial"/>
          <w:b/>
          <w:bCs/>
        </w:rPr>
        <w:t>19</w:t>
      </w:r>
      <w:r>
        <w:rPr>
          <w:rFonts w:ascii="Arial" w:hAnsi="Arial" w:cs="Arial"/>
        </w:rPr>
        <w:t>, 4, 385-401.</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Lemoine, D., Peltier, J.P. &amp; Marigo, G. (2001). Comparative studies of the water relations and the hydraulic characteristics in Fraxinus excelsior, Acer pseudoplatanus and A. opalus trees under soil water contrasted conditions, </w:t>
      </w:r>
      <w:r>
        <w:rPr>
          <w:rFonts w:ascii="Arial" w:hAnsi="Arial" w:cs="Arial"/>
          <w:i/>
          <w:iCs/>
        </w:rPr>
        <w:t>Annals of Forest Science</w:t>
      </w:r>
      <w:r>
        <w:rPr>
          <w:rFonts w:ascii="Arial" w:hAnsi="Arial" w:cs="Arial"/>
        </w:rPr>
        <w:t xml:space="preserve">, </w:t>
      </w:r>
      <w:r>
        <w:rPr>
          <w:rFonts w:ascii="Arial" w:hAnsi="Arial" w:cs="Arial"/>
          <w:b/>
          <w:bCs/>
        </w:rPr>
        <w:t>58</w:t>
      </w:r>
      <w:r>
        <w:rPr>
          <w:rFonts w:ascii="Arial" w:hAnsi="Arial" w:cs="Arial"/>
        </w:rPr>
        <w:t>, 7, 723-731.</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Lorenz, R.C. (1944). Discolorations and decay resulting form increment borings in hardwoods, </w:t>
      </w:r>
      <w:r>
        <w:rPr>
          <w:rFonts w:ascii="Arial" w:hAnsi="Arial" w:cs="Arial"/>
          <w:i/>
          <w:iCs/>
        </w:rPr>
        <w:t>Journal of Forestry</w:t>
      </w:r>
      <w:r>
        <w:rPr>
          <w:rFonts w:ascii="Arial" w:hAnsi="Arial" w:cs="Arial"/>
        </w:rPr>
        <w:t xml:space="preserve">, </w:t>
      </w:r>
      <w:r>
        <w:rPr>
          <w:rFonts w:ascii="Arial" w:hAnsi="Arial" w:cs="Arial"/>
          <w:b/>
          <w:bCs/>
        </w:rPr>
        <w:t>42</w:t>
      </w:r>
      <w:r>
        <w:rPr>
          <w:rFonts w:ascii="Arial" w:hAnsi="Arial" w:cs="Arial"/>
        </w:rPr>
        <w:t>, 1, 37-43.</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szCs w:val="18"/>
        </w:rPr>
        <w:t xml:space="preserve">Majid, K. &amp; Reza, B. (2011). A dendrochronological study on Acer velutinum in northern Irana, </w:t>
      </w:r>
      <w:r>
        <w:rPr>
          <w:rFonts w:ascii="Arial" w:hAnsi="Arial" w:cs="Arial"/>
          <w:i/>
          <w:iCs/>
          <w:szCs w:val="18"/>
        </w:rPr>
        <w:t>Indian Journal of Science &amp; Technology</w:t>
      </w:r>
      <w:r>
        <w:rPr>
          <w:rFonts w:ascii="Arial" w:hAnsi="Arial" w:cs="Arial"/>
          <w:szCs w:val="18"/>
        </w:rPr>
        <w:t xml:space="preserve">, </w:t>
      </w:r>
      <w:r>
        <w:rPr>
          <w:rFonts w:ascii="Arial" w:hAnsi="Arial" w:cs="Arial"/>
          <w:b/>
          <w:bCs/>
          <w:szCs w:val="18"/>
        </w:rPr>
        <w:t>4</w:t>
      </w:r>
      <w:r>
        <w:rPr>
          <w:rFonts w:ascii="Arial" w:hAnsi="Arial" w:cs="Arial"/>
          <w:szCs w:val="18"/>
        </w:rPr>
        <w:t>, 11, 1547-1550.</w:t>
      </w:r>
    </w:p>
    <w:p w:rsidR="001C0D62" w:rsidRDefault="001C0D62">
      <w:pPr>
        <w:jc w:val="both"/>
        <w:rPr>
          <w:rFonts w:ascii="Arial" w:hAnsi="Arial" w:cs="Arial"/>
        </w:rPr>
      </w:pPr>
    </w:p>
    <w:p w:rsidR="001C0D62" w:rsidRDefault="001C0D62">
      <w:pPr>
        <w:jc w:val="both"/>
        <w:rPr>
          <w:rFonts w:ascii="Arial" w:hAnsi="Arial" w:cs="Arial"/>
          <w:lang w:val="en"/>
        </w:rPr>
      </w:pPr>
      <w:r>
        <w:rPr>
          <w:rFonts w:ascii="Arial" w:hAnsi="Arial" w:cs="Arial"/>
        </w:rPr>
        <w:t xml:space="preserve">Maxime, C. &amp; Hendrik, D. (2011). </w:t>
      </w:r>
      <w:r>
        <w:rPr>
          <w:rFonts w:ascii="Arial" w:hAnsi="Arial" w:cs="Arial"/>
          <w:lang w:val="en"/>
        </w:rPr>
        <w:t xml:space="preserve">Effects of climate on diameter growth of co-occurring </w:t>
      </w:r>
      <w:r>
        <w:rPr>
          <w:rStyle w:val="Emphasis"/>
          <w:rFonts w:ascii="Arial" w:hAnsi="Arial" w:cs="Arial"/>
          <w:lang w:val="en"/>
        </w:rPr>
        <w:t>Fagus sylvatica</w:t>
      </w:r>
      <w:r>
        <w:rPr>
          <w:rFonts w:ascii="Arial" w:hAnsi="Arial" w:cs="Arial"/>
          <w:lang w:val="en"/>
        </w:rPr>
        <w:t xml:space="preserve"> and </w:t>
      </w:r>
      <w:r>
        <w:rPr>
          <w:rStyle w:val="Emphasis"/>
          <w:rFonts w:ascii="Arial" w:hAnsi="Arial" w:cs="Arial"/>
          <w:lang w:val="en"/>
        </w:rPr>
        <w:t>Abies alba</w:t>
      </w:r>
      <w:r>
        <w:rPr>
          <w:rFonts w:ascii="Arial" w:hAnsi="Arial" w:cs="Arial"/>
          <w:lang w:val="en"/>
        </w:rPr>
        <w:t xml:space="preserve"> along an altitudinal gradient, </w:t>
      </w:r>
      <w:r>
        <w:rPr>
          <w:rFonts w:ascii="Arial" w:hAnsi="Arial" w:cs="Arial"/>
          <w:i/>
          <w:iCs/>
          <w:lang w:val="en"/>
        </w:rPr>
        <w:t>Trees</w:t>
      </w:r>
      <w:r>
        <w:rPr>
          <w:rFonts w:ascii="Arial" w:hAnsi="Arial" w:cs="Arial"/>
          <w:lang w:val="en"/>
        </w:rPr>
        <w:t xml:space="preserve">, </w:t>
      </w:r>
      <w:r>
        <w:rPr>
          <w:rFonts w:ascii="Arial" w:hAnsi="Arial" w:cs="Arial"/>
          <w:b/>
          <w:bCs/>
          <w:lang w:val="en"/>
        </w:rPr>
        <w:t>25</w:t>
      </w:r>
      <w:r>
        <w:rPr>
          <w:rFonts w:ascii="Arial" w:hAnsi="Arial" w:cs="Arial"/>
          <w:lang w:val="en"/>
        </w:rPr>
        <w:t>, 2, 265-276.</w:t>
      </w:r>
    </w:p>
    <w:p w:rsidR="001C0D62" w:rsidRDefault="001C0D62">
      <w:pPr>
        <w:jc w:val="both"/>
        <w:rPr>
          <w:rFonts w:ascii="Arial" w:hAnsi="Arial" w:cs="Arial"/>
          <w:lang w:val="en"/>
        </w:rPr>
      </w:pPr>
    </w:p>
    <w:p w:rsidR="001C0D62" w:rsidRDefault="001C0D62">
      <w:pPr>
        <w:jc w:val="both"/>
        <w:rPr>
          <w:rFonts w:ascii="Arial" w:hAnsi="Arial" w:cs="Arial"/>
        </w:rPr>
      </w:pPr>
      <w:r>
        <w:rPr>
          <w:rFonts w:ascii="Arial" w:hAnsi="Arial" w:cs="Arial"/>
        </w:rPr>
        <w:t xml:space="preserve">Melvin, T.M. &amp; Briffa, K.R. (n.d). Intra-Ring growth parameters in dendrochronology. Available at: </w:t>
      </w:r>
      <w:hyperlink r:id="rId58" w:history="1">
        <w:r>
          <w:rPr>
            <w:rStyle w:val="Hyperlink"/>
            <w:rFonts w:ascii="Arial" w:hAnsi="Arial" w:cs="Arial"/>
            <w:color w:val="auto"/>
            <w:u w:val="none"/>
          </w:rPr>
          <w:t>http://www.cru.uea.ac.uk/cru/posters/2000-03-TM-intraring.pdf.html</w:t>
        </w:r>
      </w:hyperlink>
      <w:r>
        <w:rPr>
          <w:rFonts w:ascii="Arial" w:hAnsi="Arial" w:cs="Arial"/>
        </w:rPr>
        <w:t>. Accessed 30 September 2012.</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Meteorological Office (2013a). Historical Station Data. Available at: </w:t>
      </w:r>
      <w:hyperlink r:id="rId59" w:history="1">
        <w:r>
          <w:rPr>
            <w:rStyle w:val="Hyperlink"/>
            <w:rFonts w:ascii="Arial" w:hAnsi="Arial" w:cs="Arial"/>
            <w:color w:val="auto"/>
            <w:u w:val="none"/>
          </w:rPr>
          <w:t>http://www.metoffice.gov.uk/climate/uk/stationdata/.html</w:t>
        </w:r>
      </w:hyperlink>
      <w:r>
        <w:rPr>
          <w:rFonts w:ascii="Arial" w:hAnsi="Arial" w:cs="Arial"/>
        </w:rPr>
        <w:t>. Accessed 12 February 2013.</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Meteorological Office (2013b). </w:t>
      </w:r>
      <w:smartTag w:uri="urn:schemas-microsoft-com:office:smarttags" w:element="country-region">
        <w:smartTag w:uri="urn:schemas-microsoft-com:office:smarttags" w:element="place">
          <w:r>
            <w:rPr>
              <w:rFonts w:ascii="Arial" w:hAnsi="Arial" w:cs="Arial"/>
            </w:rPr>
            <w:t>UK</w:t>
          </w:r>
        </w:smartTag>
      </w:smartTag>
      <w:r>
        <w:rPr>
          <w:rFonts w:ascii="Arial" w:hAnsi="Arial" w:cs="Arial"/>
        </w:rPr>
        <w:t xml:space="preserve"> actual and anomaly maps. Available at: </w:t>
      </w:r>
      <w:hyperlink r:id="rId60" w:history="1">
        <w:r>
          <w:rPr>
            <w:rStyle w:val="Hyperlink"/>
            <w:rFonts w:ascii="Arial" w:hAnsi="Arial" w:cs="Arial"/>
            <w:color w:val="auto"/>
            <w:u w:val="none"/>
          </w:rPr>
          <w:t>http://www.metoffice.gov.uk/climate/uk/summaries/anomacts.html</w:t>
        </w:r>
      </w:hyperlink>
      <w:r>
        <w:rPr>
          <w:rFonts w:ascii="Arial" w:hAnsi="Arial" w:cs="Arial"/>
        </w:rPr>
        <w:t>. Accessed 12 March 2013.</w:t>
      </w:r>
    </w:p>
    <w:p w:rsidR="001C0D62" w:rsidRDefault="001C0D62">
      <w:pPr>
        <w:jc w:val="both"/>
        <w:rPr>
          <w:rFonts w:ascii="Arial" w:hAnsi="Arial" w:cs="Arial"/>
        </w:rPr>
      </w:pPr>
    </w:p>
    <w:p w:rsidR="001C0D62" w:rsidRDefault="001C0D62">
      <w:pPr>
        <w:jc w:val="both"/>
        <w:rPr>
          <w:rFonts w:ascii="Arial" w:hAnsi="Arial" w:cs="Arial"/>
        </w:rPr>
      </w:pPr>
      <w:smartTag w:uri="urn:schemas-microsoft-com:office:smarttags" w:element="place">
        <w:smartTag w:uri="urn:schemas-microsoft-com:office:smarttags" w:element="PlaceName">
          <w:r>
            <w:rPr>
              <w:rStyle w:val="Emphasis"/>
              <w:rFonts w:ascii="Arial" w:hAnsi="Arial" w:cs="Arial"/>
              <w:i w:val="0"/>
              <w:iCs w:val="0"/>
              <w:lang w:val="en-GB"/>
            </w:rPr>
            <w:t>Middle</w:t>
          </w:r>
        </w:smartTag>
        <w:r>
          <w:rPr>
            <w:rStyle w:val="Emphasis"/>
            <w:rFonts w:ascii="Arial" w:hAnsi="Arial" w:cs="Arial"/>
            <w:i w:val="0"/>
            <w:iCs w:val="0"/>
            <w:lang w:val="en-GB"/>
          </w:rPr>
          <w:t xml:space="preserve"> </w:t>
        </w:r>
        <w:smartTag w:uri="urn:schemas-microsoft-com:office:smarttags" w:element="PlaceName">
          <w:r>
            <w:rPr>
              <w:rStyle w:val="Emphasis"/>
              <w:rFonts w:ascii="Arial" w:hAnsi="Arial" w:cs="Arial"/>
              <w:i w:val="0"/>
              <w:iCs w:val="0"/>
              <w:lang w:val="en-GB"/>
            </w:rPr>
            <w:t>Tennessee</w:t>
          </w:r>
        </w:smartTag>
        <w:r>
          <w:rPr>
            <w:rStyle w:val="Emphasis"/>
            <w:rFonts w:ascii="Arial" w:hAnsi="Arial" w:cs="Arial"/>
            <w:i w:val="0"/>
            <w:iCs w:val="0"/>
            <w:lang w:val="en-GB"/>
          </w:rPr>
          <w:t xml:space="preserve"> </w:t>
        </w:r>
        <w:smartTag w:uri="urn:schemas-microsoft-com:office:smarttags" w:element="PlaceType">
          <w:r>
            <w:rPr>
              <w:rStyle w:val="Emphasis"/>
              <w:rFonts w:ascii="Arial" w:hAnsi="Arial" w:cs="Arial"/>
              <w:i w:val="0"/>
              <w:iCs w:val="0"/>
              <w:lang w:val="en-GB"/>
            </w:rPr>
            <w:t>State</w:t>
          </w:r>
        </w:smartTag>
        <w:r>
          <w:rPr>
            <w:rStyle w:val="Emphasis"/>
            <w:rFonts w:ascii="Arial" w:hAnsi="Arial" w:cs="Arial"/>
            <w:i w:val="0"/>
            <w:iCs w:val="0"/>
            <w:lang w:val="en-GB"/>
          </w:rPr>
          <w:t xml:space="preserve"> </w:t>
        </w:r>
        <w:smartTag w:uri="urn:schemas-microsoft-com:office:smarttags" w:element="PlaceType">
          <w:r>
            <w:rPr>
              <w:rStyle w:val="Emphasis"/>
              <w:rFonts w:ascii="Arial" w:hAnsi="Arial" w:cs="Arial"/>
              <w:i w:val="0"/>
              <w:iCs w:val="0"/>
              <w:lang w:val="en-GB"/>
            </w:rPr>
            <w:t>University</w:t>
          </w:r>
        </w:smartTag>
      </w:smartTag>
      <w:r>
        <w:rPr>
          <w:rStyle w:val="Emphasis"/>
          <w:rFonts w:ascii="Arial" w:hAnsi="Arial" w:cs="Arial"/>
          <w:i w:val="0"/>
          <w:iCs w:val="0"/>
          <w:lang w:val="en-GB"/>
        </w:rPr>
        <w:t xml:space="preserve"> (MTSU) (n.d.). </w:t>
      </w:r>
      <w:r>
        <w:rPr>
          <w:rFonts w:ascii="Arial" w:hAnsi="Arial" w:cs="Arial"/>
        </w:rPr>
        <w:t xml:space="preserve">Critical Values for Pearson's Correlation Coefficient. Available at: </w:t>
      </w:r>
      <w:hyperlink r:id="rId61" w:history="1">
        <w:r>
          <w:rPr>
            <w:rStyle w:val="Hyperlink"/>
            <w:rFonts w:ascii="Arial" w:hAnsi="Arial" w:cs="Arial"/>
            <w:color w:val="auto"/>
            <w:u w:val="none"/>
          </w:rPr>
          <w:t>http://capone.mtsu.edu/dkfuller/tables/</w:t>
        </w:r>
        <w:r>
          <w:rPr>
            <w:rStyle w:val="Hyperlink"/>
            <w:rFonts w:ascii="Arial" w:hAnsi="Arial" w:cs="Arial"/>
            <w:color w:val="auto"/>
            <w:u w:val="none"/>
          </w:rPr>
          <w:br/>
          <w:t>correlationtable.pdf.html</w:t>
        </w:r>
      </w:hyperlink>
      <w:r>
        <w:rPr>
          <w:rFonts w:ascii="Arial" w:hAnsi="Arial" w:cs="Arial"/>
        </w:rPr>
        <w:t>. Accessed 7 March 2013.</w:t>
      </w:r>
    </w:p>
    <w:p w:rsidR="001C0D62" w:rsidRDefault="001C0D62">
      <w:pPr>
        <w:jc w:val="both"/>
        <w:rPr>
          <w:rFonts w:ascii="Arial" w:hAnsi="Arial" w:cs="Arial"/>
          <w:lang w:val="en"/>
        </w:rPr>
      </w:pPr>
    </w:p>
    <w:p w:rsidR="001C0D62" w:rsidRDefault="001C0D62">
      <w:pPr>
        <w:jc w:val="both"/>
        <w:rPr>
          <w:rFonts w:ascii="Arial" w:hAnsi="Arial" w:cs="Arial"/>
        </w:rPr>
      </w:pPr>
      <w:r>
        <w:rPr>
          <w:rFonts w:ascii="Arial" w:hAnsi="Arial" w:cs="Arial"/>
          <w:lang w:val="en"/>
        </w:rPr>
        <w:t>Morecroft, M.D. &amp; Roberts, J.M. (1999). Photosynthesis and stomatal conductance of mature canopy Oak (</w:t>
      </w:r>
      <w:r>
        <w:rPr>
          <w:rFonts w:ascii="Arial" w:hAnsi="Arial" w:cs="Arial"/>
          <w:i/>
          <w:iCs/>
          <w:lang w:val="en"/>
        </w:rPr>
        <w:t>Quercus robur</w:t>
      </w:r>
      <w:r>
        <w:rPr>
          <w:rFonts w:ascii="Arial" w:hAnsi="Arial" w:cs="Arial"/>
          <w:lang w:val="en"/>
        </w:rPr>
        <w:t>) and sycamore (</w:t>
      </w:r>
      <w:r>
        <w:rPr>
          <w:rFonts w:ascii="Arial" w:hAnsi="Arial" w:cs="Arial"/>
          <w:i/>
          <w:iCs/>
          <w:lang w:val="en"/>
        </w:rPr>
        <w:t>Acer pseudoplatanus</w:t>
      </w:r>
      <w:r>
        <w:rPr>
          <w:rFonts w:ascii="Arial" w:hAnsi="Arial" w:cs="Arial"/>
          <w:lang w:val="en"/>
        </w:rPr>
        <w:t xml:space="preserve">) trees throughout the growing season, </w:t>
      </w:r>
      <w:r>
        <w:rPr>
          <w:rFonts w:ascii="Arial" w:hAnsi="Arial" w:cs="Arial"/>
          <w:i/>
          <w:iCs/>
          <w:lang w:val="en"/>
        </w:rPr>
        <w:t>Functional Ecology</w:t>
      </w:r>
      <w:r>
        <w:rPr>
          <w:rFonts w:ascii="Arial" w:hAnsi="Arial" w:cs="Arial"/>
          <w:lang w:val="en"/>
        </w:rPr>
        <w:t xml:space="preserve">, </w:t>
      </w:r>
      <w:r>
        <w:rPr>
          <w:rFonts w:ascii="Arial" w:hAnsi="Arial" w:cs="Arial"/>
          <w:b/>
          <w:bCs/>
          <w:lang w:val="en"/>
        </w:rPr>
        <w:t>13</w:t>
      </w:r>
      <w:r>
        <w:rPr>
          <w:rFonts w:ascii="Arial" w:hAnsi="Arial" w:cs="Arial"/>
          <w:lang w:val="en"/>
        </w:rPr>
        <w:t>, 3, 332-342.</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Morecroft, M.D., Stokes, V.J., </w:t>
      </w:r>
      <w:smartTag w:uri="urn:schemas-microsoft-com:office:smarttags" w:element="place">
        <w:smartTag w:uri="urn:schemas-microsoft-com:office:smarttags" w:element="City">
          <w:r>
            <w:rPr>
              <w:rFonts w:ascii="Arial" w:hAnsi="Arial" w:cs="Arial"/>
            </w:rPr>
            <w:t>Taylor</w:t>
          </w:r>
        </w:smartTag>
        <w:r>
          <w:rPr>
            <w:rFonts w:ascii="Arial" w:hAnsi="Arial" w:cs="Arial"/>
          </w:rPr>
          <w:t xml:space="preserve">, </w:t>
        </w:r>
        <w:smartTag w:uri="urn:schemas-microsoft-com:office:smarttags" w:element="State">
          <w:r>
            <w:rPr>
              <w:rFonts w:ascii="Arial" w:hAnsi="Arial" w:cs="Arial"/>
            </w:rPr>
            <w:t>M.E.</w:t>
          </w:r>
        </w:smartTag>
      </w:smartTag>
      <w:r>
        <w:rPr>
          <w:rFonts w:ascii="Arial" w:hAnsi="Arial" w:cs="Arial"/>
        </w:rPr>
        <w:t xml:space="preserve"> &amp; Morison, J.I.L. (2008). Effects of climate and management history on the distribution and growth of sycamore (Acer pseudoplatanus L.) in a southern British woodland in comparison to native competitors, Forestry, </w:t>
      </w:r>
      <w:r>
        <w:rPr>
          <w:rFonts w:ascii="Arial" w:hAnsi="Arial" w:cs="Arial"/>
          <w:b/>
          <w:bCs/>
        </w:rPr>
        <w:t>81</w:t>
      </w:r>
      <w:r>
        <w:rPr>
          <w:rFonts w:ascii="Arial" w:hAnsi="Arial" w:cs="Arial"/>
        </w:rPr>
        <w:t>, 1, 59-74.</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Morey, P.R. (1973). </w:t>
      </w:r>
      <w:r>
        <w:rPr>
          <w:rFonts w:ascii="Arial" w:hAnsi="Arial" w:cs="Arial"/>
          <w:i/>
          <w:iCs/>
        </w:rPr>
        <w:t>How Trees Grow: Studies in Biology no 39</w:t>
      </w:r>
      <w:r>
        <w:rPr>
          <w:rFonts w:ascii="Arial" w:hAnsi="Arial" w:cs="Arial"/>
        </w:rPr>
        <w:t xml:space="preserve">. Edward Arnold Ltd, </w:t>
      </w:r>
      <w:smartTag w:uri="urn:schemas-microsoft-com:office:smarttags" w:element="City">
        <w:smartTag w:uri="urn:schemas-microsoft-com:office:smarttags" w:element="place">
          <w:r>
            <w:rPr>
              <w:rFonts w:ascii="Arial" w:hAnsi="Arial" w:cs="Arial"/>
            </w:rPr>
            <w:t>London</w:t>
          </w:r>
        </w:smartTag>
      </w:smartTag>
      <w:r>
        <w:rPr>
          <w:rFonts w:ascii="Arial" w:hAnsi="Arial" w:cs="Arial"/>
        </w:rPr>
        <w:t>.</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National Climatic </w:t>
      </w:r>
      <w:smartTag w:uri="urn:schemas-microsoft-com:office:smarttags" w:element="place">
        <w:smartTag w:uri="urn:schemas-microsoft-com:office:smarttags" w:element="PlaceName">
          <w:r>
            <w:rPr>
              <w:rFonts w:ascii="Arial" w:hAnsi="Arial" w:cs="Arial"/>
            </w:rPr>
            <w:t>Data</w:t>
          </w:r>
        </w:smartTag>
        <w:r>
          <w:rPr>
            <w:rFonts w:ascii="Arial" w:hAnsi="Arial" w:cs="Arial"/>
          </w:rPr>
          <w:t xml:space="preserve"> </w:t>
        </w:r>
        <w:smartTag w:uri="urn:schemas-microsoft-com:office:smarttags" w:element="PlaceType">
          <w:r>
            <w:rPr>
              <w:rFonts w:ascii="Arial" w:hAnsi="Arial" w:cs="Arial"/>
            </w:rPr>
            <w:t>Center</w:t>
          </w:r>
        </w:smartTag>
      </w:smartTag>
      <w:r>
        <w:rPr>
          <w:rFonts w:ascii="Arial" w:hAnsi="Arial" w:cs="Arial"/>
        </w:rPr>
        <w:t xml:space="preserve"> (NCDC) (2013). Tree Ring. Available at: </w:t>
      </w:r>
      <w:hyperlink r:id="rId62" w:history="1">
        <w:r>
          <w:rPr>
            <w:rStyle w:val="Hyperlink"/>
            <w:rFonts w:ascii="Arial" w:hAnsi="Arial" w:cs="Arial"/>
            <w:color w:val="auto"/>
            <w:u w:val="none"/>
          </w:rPr>
          <w:t>http://www.ncdc.noaa.gov/paleo/treering.html</w:t>
        </w:r>
      </w:hyperlink>
      <w:r>
        <w:rPr>
          <w:rFonts w:ascii="Arial" w:hAnsi="Arial" w:cs="Arial"/>
        </w:rPr>
        <w:t>. Accessed 25 February 2013.</w:t>
      </w:r>
    </w:p>
    <w:p w:rsidR="001C0D62" w:rsidRDefault="001C0D62">
      <w:pPr>
        <w:jc w:val="both"/>
        <w:rPr>
          <w:rFonts w:ascii="Arial" w:hAnsi="Arial" w:cs="Arial"/>
        </w:rPr>
      </w:pPr>
      <w:r>
        <w:rPr>
          <w:rFonts w:ascii="Arial" w:hAnsi="Arial" w:cs="Arial"/>
          <w:lang w:val="en-GB"/>
        </w:rPr>
        <w:t xml:space="preserve">North American Dendroecological Fieldweek (NADEF) (2012). Chronologies of earlywood and latewood width from an old-growth </w:t>
      </w:r>
      <w:r>
        <w:rPr>
          <w:rFonts w:ascii="Arial" w:hAnsi="Arial" w:cs="Arial"/>
          <w:i/>
          <w:iCs/>
          <w:lang w:val="en-GB"/>
        </w:rPr>
        <w:t>Pinus ponderosa</w:t>
      </w:r>
      <w:r>
        <w:rPr>
          <w:rFonts w:ascii="Arial" w:hAnsi="Arial" w:cs="Arial"/>
          <w:lang w:val="en-GB"/>
        </w:rPr>
        <w:t xml:space="preserve"> stand in the </w:t>
      </w:r>
      <w:smartTag w:uri="urn:schemas-microsoft-com:office:smarttags" w:element="PlaceName">
        <w:r>
          <w:rPr>
            <w:rFonts w:ascii="Arial" w:hAnsi="Arial" w:cs="Arial"/>
            <w:lang w:val="en-GB"/>
          </w:rPr>
          <w:t>Jemez</w:t>
        </w:r>
      </w:smartTag>
      <w:r>
        <w:rPr>
          <w:rFonts w:ascii="Arial" w:hAnsi="Arial" w:cs="Arial"/>
          <w:lang w:val="en-GB"/>
        </w:rPr>
        <w:t xml:space="preserve"> </w:t>
      </w:r>
      <w:smartTag w:uri="urn:schemas-microsoft-com:office:smarttags" w:element="PlaceType">
        <w:r>
          <w:rPr>
            <w:rFonts w:ascii="Arial" w:hAnsi="Arial" w:cs="Arial"/>
            <w:lang w:val="en-GB"/>
          </w:rPr>
          <w:t>Mountains</w:t>
        </w:r>
      </w:smartTag>
      <w:r>
        <w:rPr>
          <w:rFonts w:ascii="Arial" w:hAnsi="Arial" w:cs="Arial"/>
          <w:lang w:val="en-GB"/>
        </w:rPr>
        <w:t xml:space="preserve"> of northern </w:t>
      </w:r>
      <w:smartTag w:uri="urn:schemas-microsoft-com:office:smarttags" w:element="State">
        <w:smartTag w:uri="urn:schemas-microsoft-com:office:smarttags" w:element="place">
          <w:r>
            <w:rPr>
              <w:rFonts w:ascii="Arial" w:hAnsi="Arial" w:cs="Arial"/>
              <w:lang w:val="en-GB"/>
            </w:rPr>
            <w:t>New Mexico</w:t>
          </w:r>
        </w:smartTag>
      </w:smartTag>
      <w:r>
        <w:rPr>
          <w:rFonts w:ascii="Arial" w:hAnsi="Arial" w:cs="Arial"/>
          <w:lang w:val="en-GB"/>
        </w:rPr>
        <w:t>. Available at: http://www.u.arizona.edu/~dgriffin/misc/NADEF2012IntroReportFinal.pdf.html. Accessed 3 January 2013.</w:t>
      </w:r>
    </w:p>
    <w:p w:rsidR="001C0D62" w:rsidRDefault="001C0D62">
      <w:pPr>
        <w:jc w:val="both"/>
        <w:rPr>
          <w:rFonts w:ascii="Arial" w:hAnsi="Arial" w:cs="Arial"/>
        </w:rPr>
      </w:pPr>
    </w:p>
    <w:p w:rsidR="001C0D62" w:rsidRDefault="001C0D62">
      <w:pPr>
        <w:jc w:val="both"/>
        <w:rPr>
          <w:rFonts w:ascii="Arial" w:hAnsi="Arial" w:cs="Arial"/>
          <w:lang w:val="en-GB"/>
        </w:rPr>
      </w:pPr>
      <w:r>
        <w:rPr>
          <w:rFonts w:ascii="Arial" w:hAnsi="Arial" w:cs="Arial"/>
          <w:lang w:val="en-GB"/>
        </w:rPr>
        <w:t xml:space="preserve">Norton, D.A. (1998). Impacts of tree coring on indigenous trees. Available at: </w:t>
      </w:r>
      <w:hyperlink r:id="rId63" w:history="1">
        <w:r>
          <w:rPr>
            <w:rStyle w:val="Hyperlink"/>
            <w:rFonts w:ascii="Arial" w:hAnsi="Arial" w:cs="Arial"/>
            <w:color w:val="auto"/>
            <w:u w:val="none"/>
            <w:lang w:val="en-GB"/>
          </w:rPr>
          <w:t>http://www.doc.govt.nz/documents/science-and-technical/casn186.pdf.html</w:t>
        </w:r>
      </w:hyperlink>
      <w:r>
        <w:rPr>
          <w:rFonts w:ascii="Arial" w:hAnsi="Arial" w:cs="Arial"/>
          <w:lang w:val="en-GB"/>
        </w:rPr>
        <w:t>. Accessed 12 September 2012.</w:t>
      </w:r>
    </w:p>
    <w:p w:rsidR="001C0D62" w:rsidRDefault="001C0D62">
      <w:pPr>
        <w:jc w:val="both"/>
        <w:rPr>
          <w:rFonts w:ascii="Arial" w:hAnsi="Arial" w:cs="Arial"/>
          <w:lang w:val="en-GB"/>
        </w:rPr>
      </w:pPr>
    </w:p>
    <w:p w:rsidR="001C0D62" w:rsidRDefault="001C0D62">
      <w:pPr>
        <w:jc w:val="both"/>
        <w:rPr>
          <w:rFonts w:ascii="Arial" w:hAnsi="Arial" w:cs="Arial"/>
          <w:lang w:val="en-GB" w:eastAsia="en-GB"/>
        </w:rPr>
      </w:pPr>
      <w:r>
        <w:rPr>
          <w:rFonts w:ascii="Arial" w:hAnsi="Arial" w:cs="Arial"/>
          <w:lang w:val="en-GB" w:eastAsia="en-GB"/>
        </w:rPr>
        <w:t>Novak, K., de Luı´s, M., Ravento´s, J. &amp; Cufar, K. (2013). Climatic signals in tree-ring widths and wood structure of</w:t>
      </w:r>
      <w:r>
        <w:rPr>
          <w:rFonts w:ascii="Arial" w:hAnsi="Arial" w:cs="Arial"/>
          <w:i/>
          <w:lang w:val="en-GB" w:eastAsia="en-GB"/>
        </w:rPr>
        <w:t xml:space="preserve"> Pinus halepensis</w:t>
      </w:r>
      <w:r>
        <w:rPr>
          <w:rFonts w:ascii="Arial" w:hAnsi="Arial" w:cs="Arial"/>
          <w:lang w:val="en-GB" w:eastAsia="en-GB"/>
        </w:rPr>
        <w:t xml:space="preserve"> in contrasted environmental conditions. Available at: </w:t>
      </w:r>
      <w:hyperlink r:id="rId64" w:history="1">
        <w:r>
          <w:rPr>
            <w:rStyle w:val="Hyperlink"/>
            <w:rFonts w:ascii="Arial" w:hAnsi="Arial" w:cs="Arial"/>
            <w:color w:val="auto"/>
            <w:u w:val="none"/>
            <w:lang w:val="en-GB" w:eastAsia="en-GB"/>
          </w:rPr>
          <w:t>http://link.springer.com/article/10.1007%2Fs00468-013-0845-5#.html</w:t>
        </w:r>
      </w:hyperlink>
      <w:r>
        <w:rPr>
          <w:rFonts w:ascii="Arial" w:hAnsi="Arial" w:cs="Arial"/>
          <w:lang w:val="en-GB" w:eastAsia="en-GB"/>
        </w:rPr>
        <w:t>. Accessed 29 January 2013.</w:t>
      </w:r>
    </w:p>
    <w:p w:rsidR="001C0D62" w:rsidRDefault="001C0D62">
      <w:pPr>
        <w:jc w:val="both"/>
        <w:rPr>
          <w:rFonts w:ascii="Arial" w:hAnsi="Arial" w:cs="Arial"/>
          <w:lang w:val="en-GB" w:eastAsia="en-GB"/>
        </w:rPr>
      </w:pPr>
    </w:p>
    <w:p w:rsidR="001C0D62" w:rsidRDefault="001C0D62">
      <w:pPr>
        <w:autoSpaceDE w:val="0"/>
        <w:autoSpaceDN w:val="0"/>
        <w:adjustRightInd w:val="0"/>
        <w:jc w:val="both"/>
        <w:rPr>
          <w:rFonts w:ascii="Arial" w:hAnsi="Arial" w:cs="Arial"/>
          <w:lang w:val="en-GB" w:eastAsia="en-GB"/>
        </w:rPr>
      </w:pPr>
      <w:r>
        <w:rPr>
          <w:rFonts w:ascii="Arial" w:hAnsi="Arial" w:cs="Arial"/>
        </w:rPr>
        <w:t xml:space="preserve">Nuhoglu, Y. (2006). </w:t>
      </w:r>
      <w:r>
        <w:rPr>
          <w:rFonts w:ascii="Arial" w:eastAsia="TimesNewRomanPS-BoldMT" w:hAnsi="Arial" w:cs="Arial"/>
          <w:szCs w:val="44"/>
        </w:rPr>
        <w:t xml:space="preserve">A New Approach to Air Pollution Determination Using Annual Rings: Dendro-Chemical Elemental </w:t>
      </w:r>
      <w:r>
        <w:rPr>
          <w:rFonts w:ascii="Arial" w:eastAsia="TimesNewRomanPS-BoldMT" w:hAnsi="Arial" w:cs="Arial"/>
        </w:rPr>
        <w:t>Analysis of Annual Rings by SEM-EDS</w:t>
      </w:r>
      <w:r>
        <w:rPr>
          <w:rFonts w:ascii="Arial" w:hAnsi="Arial" w:cs="Arial"/>
          <w:b/>
          <w:bCs/>
        </w:rPr>
        <w:t xml:space="preserve">, </w:t>
      </w:r>
      <w:r>
        <w:rPr>
          <w:rFonts w:ascii="Arial" w:hAnsi="Arial" w:cs="Arial"/>
          <w:i/>
          <w:iCs/>
        </w:rPr>
        <w:t>Polish Journal of Environmental Studies</w:t>
      </w:r>
      <w:r>
        <w:rPr>
          <w:rFonts w:ascii="Arial" w:hAnsi="Arial" w:cs="Arial"/>
        </w:rPr>
        <w:t xml:space="preserve">, </w:t>
      </w:r>
      <w:r>
        <w:rPr>
          <w:rFonts w:ascii="Arial" w:hAnsi="Arial" w:cs="Arial"/>
          <w:b/>
          <w:bCs/>
        </w:rPr>
        <w:t>15</w:t>
      </w:r>
      <w:r>
        <w:rPr>
          <w:rFonts w:ascii="Arial" w:hAnsi="Arial" w:cs="Arial"/>
        </w:rPr>
        <w:t>, 1, 111-119.</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Orwig, D.A. &amp; Abrams, M.D. (1997). Variation in radial growth responses to drought among species, site, and canopy strata, </w:t>
      </w:r>
      <w:r>
        <w:rPr>
          <w:rFonts w:ascii="Arial" w:hAnsi="Arial" w:cs="Arial"/>
          <w:i/>
          <w:iCs/>
        </w:rPr>
        <w:t>Trees</w:t>
      </w:r>
      <w:r>
        <w:rPr>
          <w:rFonts w:ascii="Arial" w:hAnsi="Arial" w:cs="Arial"/>
        </w:rPr>
        <w:t>, 11, 8, 474-484.</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Pan, C., Tajchman, S.J. &amp; Kochenderfer, J.N. (1997). Dendroclimatological analysis of major forest species of the central </w:t>
      </w:r>
      <w:smartTag w:uri="urn:schemas-microsoft-com:office:smarttags" w:element="place">
        <w:r>
          <w:rPr>
            <w:rFonts w:ascii="Arial" w:hAnsi="Arial" w:cs="Arial"/>
          </w:rPr>
          <w:t>Appalachians</w:t>
        </w:r>
      </w:smartTag>
      <w:r>
        <w:rPr>
          <w:rFonts w:ascii="Arial" w:hAnsi="Arial" w:cs="Arial"/>
        </w:rPr>
        <w:t xml:space="preserve">, </w:t>
      </w:r>
      <w:r>
        <w:rPr>
          <w:rFonts w:ascii="Arial" w:hAnsi="Arial" w:cs="Arial"/>
          <w:i/>
          <w:iCs/>
        </w:rPr>
        <w:t>Forest Ecology and Management</w:t>
      </w:r>
      <w:r>
        <w:rPr>
          <w:rFonts w:ascii="Arial" w:hAnsi="Arial" w:cs="Arial"/>
        </w:rPr>
        <w:t xml:space="preserve">, </w:t>
      </w:r>
      <w:r>
        <w:rPr>
          <w:rFonts w:ascii="Arial" w:hAnsi="Arial" w:cs="Arial"/>
          <w:b/>
          <w:bCs/>
        </w:rPr>
        <w:t>98</w:t>
      </w:r>
      <w:r>
        <w:rPr>
          <w:rFonts w:ascii="Arial" w:hAnsi="Arial" w:cs="Arial"/>
        </w:rPr>
        <w:t>, 1, 77-88.</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lang w:val="en-GB"/>
        </w:rPr>
        <w:t xml:space="preserve">Peck, R., Olsen, C. &amp; Devore, J. (2008). </w:t>
      </w:r>
      <w:r>
        <w:rPr>
          <w:rFonts w:ascii="Arial" w:hAnsi="Arial" w:cs="Arial"/>
          <w:i/>
          <w:iCs/>
          <w:lang w:val="en-GB"/>
        </w:rPr>
        <w:t>Introduction to Statistics &amp; Data Analysis</w:t>
      </w:r>
      <w:r>
        <w:rPr>
          <w:rFonts w:ascii="Arial" w:hAnsi="Arial" w:cs="Arial"/>
          <w:lang w:val="en-GB"/>
        </w:rPr>
        <w:t xml:space="preserve">, Thomson Brooks/Cole, </w:t>
      </w:r>
      <w:smartTag w:uri="urn:schemas-microsoft-com:office:smarttags" w:element="City">
        <w:smartTag w:uri="urn:schemas-microsoft-com:office:smarttags" w:element="place">
          <w:r>
            <w:rPr>
              <w:rFonts w:ascii="Arial" w:hAnsi="Arial" w:cs="Arial"/>
              <w:lang w:val="en-GB"/>
            </w:rPr>
            <w:t>London</w:t>
          </w:r>
        </w:smartTag>
      </w:smartTag>
      <w:r>
        <w:rPr>
          <w:rFonts w:ascii="Arial" w:hAnsi="Arial" w:cs="Arial"/>
          <w:lang w:val="en-GB"/>
        </w:rPr>
        <w:t>. 3</w:t>
      </w:r>
      <w:r>
        <w:rPr>
          <w:rFonts w:ascii="Arial" w:hAnsi="Arial" w:cs="Arial"/>
          <w:vertAlign w:val="superscript"/>
          <w:lang w:val="en-GB"/>
        </w:rPr>
        <w:t>rd</w:t>
      </w:r>
      <w:r>
        <w:rPr>
          <w:rFonts w:ascii="Arial" w:hAnsi="Arial" w:cs="Arial"/>
          <w:lang w:val="en-GB"/>
        </w:rPr>
        <w:t xml:space="preserve"> Edn.</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Pilcher, J.R. &amp; Gray, B. (1982). The relationships between oak tree growth and climate in </w:t>
      </w:r>
      <w:smartTag w:uri="urn:schemas-microsoft-com:office:smarttags" w:element="country-region">
        <w:smartTag w:uri="urn:schemas-microsoft-com:office:smarttags" w:element="place">
          <w:r>
            <w:rPr>
              <w:rFonts w:ascii="Arial" w:hAnsi="Arial" w:cs="Arial"/>
            </w:rPr>
            <w:t>Britain</w:t>
          </w:r>
        </w:smartTag>
      </w:smartTag>
      <w:r>
        <w:rPr>
          <w:rFonts w:ascii="Arial" w:hAnsi="Arial" w:cs="Arial"/>
        </w:rPr>
        <w:t xml:space="preserve">, </w:t>
      </w:r>
      <w:r>
        <w:rPr>
          <w:rFonts w:ascii="Arial" w:hAnsi="Arial" w:cs="Arial"/>
          <w:i/>
          <w:iCs/>
        </w:rPr>
        <w:t>Journal of Ecology</w:t>
      </w:r>
      <w:r>
        <w:rPr>
          <w:rFonts w:ascii="Arial" w:hAnsi="Arial" w:cs="Arial"/>
        </w:rPr>
        <w:t xml:space="preserve">, </w:t>
      </w:r>
      <w:r>
        <w:rPr>
          <w:rFonts w:ascii="Arial" w:hAnsi="Arial" w:cs="Arial"/>
          <w:b/>
          <w:bCs/>
        </w:rPr>
        <w:t>70</w:t>
      </w:r>
      <w:r>
        <w:rPr>
          <w:rFonts w:ascii="Arial" w:hAnsi="Arial" w:cs="Arial"/>
        </w:rPr>
        <w:t>, 1, 297-304.</w:t>
      </w:r>
    </w:p>
    <w:p w:rsidR="001C0D62" w:rsidRDefault="001C0D62">
      <w:pPr>
        <w:jc w:val="both"/>
        <w:rPr>
          <w:rFonts w:ascii="Arial" w:hAnsi="Arial" w:cs="Arial"/>
        </w:rPr>
      </w:pPr>
      <w:r>
        <w:rPr>
          <w:rFonts w:ascii="Arial" w:hAnsi="Arial" w:cs="Arial"/>
        </w:rPr>
        <w:br/>
      </w:r>
      <w:r>
        <w:rPr>
          <w:rStyle w:val="googqs-tidbitgoogqs-tidbit-1"/>
          <w:rFonts w:ascii="Arial" w:hAnsi="Arial" w:cs="Arial"/>
        </w:rPr>
        <w:t xml:space="preserve">Pilkauskas M., Augustaitis A., Marozas V. (2011). </w:t>
      </w:r>
      <w:r>
        <w:rPr>
          <w:rFonts w:ascii="Arial" w:hAnsi="Arial" w:cs="Arial"/>
        </w:rPr>
        <w:t xml:space="preserve">Growth peculiarities of European Beech trees outside their natural distribution range in </w:t>
      </w:r>
      <w:smartTag w:uri="urn:schemas-microsoft-com:office:smarttags" w:element="country-region">
        <w:r>
          <w:rPr>
            <w:rFonts w:ascii="Arial" w:hAnsi="Arial" w:cs="Arial"/>
          </w:rPr>
          <w:t>Lithuania</w:t>
        </w:r>
      </w:smartTag>
      <w:r>
        <w:rPr>
          <w:rFonts w:ascii="Arial" w:hAnsi="Arial" w:cs="Arial"/>
        </w:rPr>
        <w:t xml:space="preserve">, Proceedings of the International Scientific Conference: Rural Development, </w:t>
      </w:r>
      <w:smartTag w:uri="urn:schemas-microsoft-com:office:smarttags" w:element="place">
        <w:smartTag w:uri="urn:schemas-microsoft-com:office:smarttags" w:element="PlaceName">
          <w:r>
            <w:rPr>
              <w:rFonts w:ascii="Arial" w:hAnsi="Arial" w:cs="Arial"/>
            </w:rPr>
            <w:t>Lithuanian</w:t>
          </w:r>
        </w:smartTag>
        <w:r>
          <w:rPr>
            <w:rFonts w:ascii="Arial" w:hAnsi="Arial" w:cs="Arial"/>
          </w:rPr>
          <w:t xml:space="preserve"> </w:t>
        </w:r>
        <w:smartTag w:uri="urn:schemas-microsoft-com:office:smarttags" w:element="PlaceType">
          <w:r>
            <w:rPr>
              <w:rFonts w:ascii="Arial" w:hAnsi="Arial" w:cs="Arial"/>
            </w:rPr>
            <w:t>University</w:t>
          </w:r>
        </w:smartTag>
      </w:smartTag>
      <w:r>
        <w:rPr>
          <w:rFonts w:ascii="Arial" w:hAnsi="Arial" w:cs="Arial"/>
        </w:rPr>
        <w:t xml:space="preserve"> of Agriculture, 24-25 November 2011.</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Polska (2011). Climate. Available at: </w:t>
      </w:r>
      <w:hyperlink r:id="rId65" w:history="1">
        <w:r>
          <w:rPr>
            <w:rStyle w:val="Hyperlink"/>
            <w:rFonts w:ascii="Arial" w:hAnsi="Arial" w:cs="Arial"/>
            <w:color w:val="auto"/>
            <w:u w:val="none"/>
          </w:rPr>
          <w:t>http://en.poland.gov.pl/Climate,7256.html</w:t>
        </w:r>
      </w:hyperlink>
      <w:r>
        <w:rPr>
          <w:rFonts w:ascii="Arial" w:hAnsi="Arial" w:cs="Arial"/>
        </w:rPr>
        <w:t>. Accessed 12 March 2013.</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Rigling, A., Bräker, O., Schneiter, G. &amp; Schweingruber, F. (2002). Intra-annual tree-ring parameters indicating differences in drought stress of </w:t>
      </w:r>
      <w:r>
        <w:rPr>
          <w:rFonts w:ascii="Arial" w:hAnsi="Arial" w:cs="Arial"/>
          <w:i/>
          <w:iCs/>
        </w:rPr>
        <w:t>Pinus sylvestris</w:t>
      </w:r>
      <w:r>
        <w:rPr>
          <w:rFonts w:ascii="Arial" w:hAnsi="Arial" w:cs="Arial"/>
        </w:rPr>
        <w:t xml:space="preserve"> forests within the Erico-Pinion in the Valais (Switzerland), </w:t>
      </w:r>
      <w:r>
        <w:rPr>
          <w:rFonts w:ascii="Arial" w:hAnsi="Arial" w:cs="Arial"/>
          <w:i/>
          <w:iCs/>
        </w:rPr>
        <w:t>Plant Ecology</w:t>
      </w:r>
      <w:r>
        <w:rPr>
          <w:rFonts w:ascii="Arial" w:hAnsi="Arial" w:cs="Arial"/>
        </w:rPr>
        <w:t xml:space="preserve">, </w:t>
      </w:r>
      <w:r>
        <w:rPr>
          <w:rFonts w:ascii="Arial" w:hAnsi="Arial" w:cs="Arial"/>
          <w:b/>
          <w:bCs/>
        </w:rPr>
        <w:t>163</w:t>
      </w:r>
      <w:r>
        <w:rPr>
          <w:rFonts w:ascii="Arial" w:hAnsi="Arial" w:cs="Arial"/>
        </w:rPr>
        <w:t>, 1, 105-121.</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Rigling, A., Waldner, P.O., Forster, T., Bräker, O.U. &amp; Pouttu, A. (2001). Ecological interpretation of tree-ring width and intra-anual density fluctuations in </w:t>
      </w:r>
      <w:r>
        <w:rPr>
          <w:rFonts w:ascii="Arial" w:hAnsi="Arial" w:cs="Arial"/>
          <w:i/>
          <w:iCs/>
        </w:rPr>
        <w:t>Pinus sylvestris</w:t>
      </w:r>
      <w:r>
        <w:rPr>
          <w:rFonts w:ascii="Arial" w:hAnsi="Arial" w:cs="Arial"/>
        </w:rPr>
        <w:t xml:space="preserve"> on dry sites in the central Alps and Siberia, </w:t>
      </w:r>
      <w:r>
        <w:rPr>
          <w:rFonts w:ascii="Arial" w:hAnsi="Arial" w:cs="Arial"/>
          <w:i/>
          <w:iCs/>
        </w:rPr>
        <w:t>Canadian Journal of Forest Research: Revue Canadienne de Recherche Forestiere</w:t>
      </w:r>
      <w:r>
        <w:rPr>
          <w:rFonts w:ascii="Arial" w:hAnsi="Arial" w:cs="Arial"/>
        </w:rPr>
        <w:t xml:space="preserve">, </w:t>
      </w:r>
      <w:r>
        <w:rPr>
          <w:rFonts w:ascii="Arial" w:hAnsi="Arial" w:cs="Arial"/>
          <w:b/>
          <w:bCs/>
        </w:rPr>
        <w:t>31</w:t>
      </w:r>
      <w:r>
        <w:rPr>
          <w:rFonts w:ascii="Arial" w:hAnsi="Arial" w:cs="Arial"/>
        </w:rPr>
        <w:t>, 1, 18-31.</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Robinson, P.J. &amp; Henderson-Sellers, A. (1999). </w:t>
      </w:r>
      <w:r>
        <w:rPr>
          <w:rFonts w:ascii="Arial" w:hAnsi="Arial" w:cs="Arial"/>
          <w:i/>
          <w:iCs/>
        </w:rPr>
        <w:t>Contemporary Climatology</w:t>
      </w:r>
      <w:r>
        <w:rPr>
          <w:rFonts w:ascii="Arial" w:hAnsi="Arial" w:cs="Arial"/>
        </w:rPr>
        <w:t>. Pearson Education Ltd, Essex. 2nd Edn.</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Rodwell, J.S. (1991). </w:t>
      </w:r>
      <w:r>
        <w:rPr>
          <w:rFonts w:ascii="Arial" w:hAnsi="Arial" w:cs="Arial"/>
          <w:i/>
          <w:iCs/>
        </w:rPr>
        <w:t xml:space="preserve">British Plant Communities. Volume 1. </w:t>
      </w:r>
      <w:smartTag w:uri="urn:schemas-microsoft-com:office:smarttags" w:element="City">
        <w:smartTag w:uri="urn:schemas-microsoft-com:office:smarttags" w:element="place">
          <w:r>
            <w:rPr>
              <w:rFonts w:ascii="Arial" w:hAnsi="Arial" w:cs="Arial"/>
              <w:i/>
              <w:iCs/>
            </w:rPr>
            <w:t>Woodland</w:t>
          </w:r>
        </w:smartTag>
      </w:smartTag>
      <w:r>
        <w:rPr>
          <w:rFonts w:ascii="Arial" w:hAnsi="Arial" w:cs="Arial"/>
          <w:i/>
          <w:iCs/>
        </w:rPr>
        <w:t xml:space="preserve"> and Scrub</w:t>
      </w:r>
      <w:r>
        <w:rPr>
          <w:rFonts w:ascii="Arial" w:hAnsi="Arial" w:cs="Arial"/>
        </w:rPr>
        <w:t xml:space="preserve">. </w:t>
      </w:r>
      <w:smartTag w:uri="urn:schemas-microsoft-com:office:smarttags" w:element="PlaceName">
        <w:r>
          <w:rPr>
            <w:rFonts w:ascii="Arial" w:hAnsi="Arial" w:cs="Arial"/>
          </w:rPr>
          <w:t>Cambridge</w:t>
        </w:r>
      </w:smartTag>
      <w:r>
        <w:rPr>
          <w:rFonts w:ascii="Arial" w:hAnsi="Arial" w:cs="Arial"/>
        </w:rPr>
        <w:t xml:space="preserve"> </w:t>
      </w:r>
      <w:smartTag w:uri="urn:schemas-microsoft-com:office:smarttags" w:element="PlaceType">
        <w:r>
          <w:rPr>
            <w:rFonts w:ascii="Arial" w:hAnsi="Arial" w:cs="Arial"/>
          </w:rPr>
          <w:t>University</w:t>
        </w:r>
      </w:smartTag>
      <w:r>
        <w:rPr>
          <w:rFonts w:ascii="Arial" w:hAnsi="Arial" w:cs="Arial"/>
        </w:rPr>
        <w:t xml:space="preserve"> Press, </w:t>
      </w:r>
      <w:smartTag w:uri="urn:schemas-microsoft-com:office:smarttags" w:element="City">
        <w:smartTag w:uri="urn:schemas-microsoft-com:office:smarttags" w:element="place">
          <w:r>
            <w:rPr>
              <w:rFonts w:ascii="Arial" w:hAnsi="Arial" w:cs="Arial"/>
            </w:rPr>
            <w:t>Cambridge</w:t>
          </w:r>
        </w:smartTag>
      </w:smartTag>
      <w:r>
        <w:rPr>
          <w:rFonts w:ascii="Arial" w:hAnsi="Arial" w:cs="Arial"/>
        </w:rPr>
        <w:t>.</w:t>
      </w:r>
    </w:p>
    <w:p w:rsidR="001C0D62" w:rsidRDefault="001C0D62">
      <w:pPr>
        <w:jc w:val="both"/>
        <w:rPr>
          <w:rFonts w:ascii="Arial" w:hAnsi="Arial" w:cs="Arial"/>
          <w:szCs w:val="18"/>
        </w:rPr>
      </w:pPr>
      <w:r>
        <w:rPr>
          <w:rFonts w:ascii="Arial" w:hAnsi="Arial" w:cs="Arial"/>
        </w:rPr>
        <w:br/>
        <w:t xml:space="preserve">Rozas, V. &amp; </w:t>
      </w:r>
      <w:r>
        <w:rPr>
          <w:rFonts w:ascii="Arial" w:hAnsi="Arial" w:cs="Arial"/>
          <w:szCs w:val="18"/>
        </w:rPr>
        <w:t xml:space="preserve">García-González, </w:t>
      </w:r>
      <w:smartTag w:uri="urn:schemas-microsoft-com:office:smarttags" w:element="place">
        <w:r>
          <w:rPr>
            <w:rFonts w:ascii="Arial" w:hAnsi="Arial" w:cs="Arial"/>
            <w:szCs w:val="18"/>
          </w:rPr>
          <w:t>I.</w:t>
        </w:r>
      </w:smartTag>
      <w:r>
        <w:rPr>
          <w:rFonts w:ascii="Arial" w:hAnsi="Arial" w:cs="Arial"/>
          <w:szCs w:val="18"/>
        </w:rPr>
        <w:t xml:space="preserve"> (2012). Non-stationary influence of El Niño-Southern Oscillation and winter </w:t>
      </w:r>
      <w:r>
        <w:rPr>
          <w:rStyle w:val="Strong"/>
          <w:rFonts w:ascii="Arial" w:hAnsi="Arial" w:cs="Arial"/>
          <w:b w:val="0"/>
          <w:bCs w:val="0"/>
          <w:szCs w:val="18"/>
        </w:rPr>
        <w:t>temperature</w:t>
      </w:r>
      <w:r>
        <w:rPr>
          <w:rFonts w:ascii="Arial" w:hAnsi="Arial" w:cs="Arial"/>
          <w:szCs w:val="18"/>
        </w:rPr>
        <w:t xml:space="preserve"> on </w:t>
      </w:r>
      <w:r>
        <w:rPr>
          <w:rStyle w:val="Strong"/>
          <w:rFonts w:ascii="Arial" w:hAnsi="Arial" w:cs="Arial"/>
          <w:b w:val="0"/>
          <w:bCs w:val="0"/>
          <w:szCs w:val="18"/>
        </w:rPr>
        <w:t>oak</w:t>
      </w:r>
      <w:r>
        <w:rPr>
          <w:rFonts w:ascii="Arial" w:hAnsi="Arial" w:cs="Arial"/>
          <w:szCs w:val="18"/>
        </w:rPr>
        <w:t xml:space="preserve"> latewood </w:t>
      </w:r>
      <w:r>
        <w:rPr>
          <w:rStyle w:val="Strong"/>
          <w:rFonts w:ascii="Arial" w:hAnsi="Arial" w:cs="Arial"/>
          <w:b w:val="0"/>
          <w:bCs w:val="0"/>
          <w:szCs w:val="18"/>
        </w:rPr>
        <w:t>growth</w:t>
      </w:r>
      <w:r>
        <w:rPr>
          <w:rFonts w:ascii="Arial" w:hAnsi="Arial" w:cs="Arial"/>
          <w:szCs w:val="18"/>
        </w:rPr>
        <w:t xml:space="preserve"> in NW Iberian Peninsula, </w:t>
      </w:r>
      <w:r>
        <w:rPr>
          <w:rFonts w:ascii="Arial" w:hAnsi="Arial" w:cs="Arial"/>
          <w:i/>
          <w:iCs/>
          <w:szCs w:val="18"/>
        </w:rPr>
        <w:t>International Journal of Biometeorology</w:t>
      </w:r>
      <w:r>
        <w:rPr>
          <w:rFonts w:ascii="Arial" w:hAnsi="Arial" w:cs="Arial"/>
          <w:szCs w:val="18"/>
        </w:rPr>
        <w:t xml:space="preserve">, </w:t>
      </w:r>
      <w:r>
        <w:rPr>
          <w:rFonts w:ascii="Arial" w:hAnsi="Arial" w:cs="Arial"/>
          <w:b/>
          <w:bCs/>
          <w:szCs w:val="18"/>
        </w:rPr>
        <w:t>56</w:t>
      </w:r>
      <w:r>
        <w:rPr>
          <w:rFonts w:ascii="Arial" w:hAnsi="Arial" w:cs="Arial"/>
          <w:szCs w:val="18"/>
        </w:rPr>
        <w:t>, 5, 787-800.</w:t>
      </w:r>
    </w:p>
    <w:p w:rsidR="001C0D62" w:rsidRDefault="001C0D62">
      <w:pPr>
        <w:jc w:val="both"/>
        <w:rPr>
          <w:rFonts w:ascii="Arial" w:hAnsi="Arial" w:cs="Arial"/>
          <w:szCs w:val="18"/>
        </w:rPr>
      </w:pPr>
    </w:p>
    <w:p w:rsidR="001C0D62" w:rsidRDefault="001C0D62">
      <w:pPr>
        <w:jc w:val="both"/>
        <w:rPr>
          <w:rFonts w:ascii="Arial" w:hAnsi="Arial" w:cs="Arial"/>
          <w:szCs w:val="18"/>
        </w:rPr>
      </w:pPr>
      <w:r>
        <w:rPr>
          <w:rFonts w:ascii="Arial" w:hAnsi="Arial" w:cs="Arial"/>
          <w:szCs w:val="18"/>
        </w:rPr>
        <w:t xml:space="preserve">Sheppard, P.R. (2010). Dendroclimatology: extracting climate from tree rings, </w:t>
      </w:r>
      <w:r>
        <w:rPr>
          <w:rFonts w:ascii="Arial" w:hAnsi="Arial" w:cs="Arial"/>
          <w:i/>
          <w:iCs/>
          <w:szCs w:val="18"/>
        </w:rPr>
        <w:t>Climate Change</w:t>
      </w:r>
      <w:r>
        <w:rPr>
          <w:rFonts w:ascii="Arial" w:hAnsi="Arial" w:cs="Arial"/>
          <w:szCs w:val="18"/>
        </w:rPr>
        <w:t xml:space="preserve">, </w:t>
      </w:r>
      <w:r>
        <w:rPr>
          <w:rFonts w:ascii="Arial" w:hAnsi="Arial" w:cs="Arial"/>
          <w:b/>
          <w:bCs/>
          <w:szCs w:val="18"/>
        </w:rPr>
        <w:t>1</w:t>
      </w:r>
      <w:r>
        <w:rPr>
          <w:rFonts w:ascii="Arial" w:hAnsi="Arial" w:cs="Arial"/>
          <w:szCs w:val="18"/>
        </w:rPr>
        <w:t>, 3, 343-352.</w:t>
      </w:r>
    </w:p>
    <w:p w:rsidR="001C0D62" w:rsidRDefault="001C0D62">
      <w:pPr>
        <w:jc w:val="both"/>
        <w:rPr>
          <w:rFonts w:ascii="Arial" w:hAnsi="Arial" w:cs="Arial"/>
          <w:szCs w:val="18"/>
        </w:rPr>
      </w:pPr>
    </w:p>
    <w:p w:rsidR="001C0D62" w:rsidRDefault="001C0D62">
      <w:pPr>
        <w:jc w:val="both"/>
        <w:rPr>
          <w:rFonts w:ascii="Arial" w:hAnsi="Arial" w:cs="Arial"/>
          <w:szCs w:val="22"/>
        </w:rPr>
      </w:pPr>
      <w:r>
        <w:rPr>
          <w:rFonts w:ascii="Arial" w:hAnsi="Arial" w:cs="Arial"/>
          <w:szCs w:val="22"/>
        </w:rPr>
        <w:t xml:space="preserve">Shigo, A.L. (1984). Compartmentalization: a conceptual framework for understanding how trees grow and defend themselves, </w:t>
      </w:r>
      <w:r>
        <w:rPr>
          <w:rFonts w:ascii="Arial" w:hAnsi="Arial" w:cs="Arial"/>
          <w:i/>
          <w:iCs/>
          <w:szCs w:val="22"/>
        </w:rPr>
        <w:t>Annual Review of Phytopathology</w:t>
      </w:r>
      <w:r>
        <w:rPr>
          <w:rFonts w:ascii="Arial" w:hAnsi="Arial" w:cs="Arial"/>
          <w:szCs w:val="22"/>
        </w:rPr>
        <w:t>,</w:t>
      </w:r>
      <w:r>
        <w:rPr>
          <w:rFonts w:ascii="Arial" w:hAnsi="Arial" w:cs="Arial"/>
          <w:i/>
          <w:iCs/>
          <w:szCs w:val="22"/>
        </w:rPr>
        <w:t xml:space="preserve"> </w:t>
      </w:r>
      <w:r>
        <w:rPr>
          <w:rFonts w:ascii="Arial" w:hAnsi="Arial" w:cs="Arial"/>
          <w:b/>
          <w:bCs/>
          <w:szCs w:val="22"/>
        </w:rPr>
        <w:t>22</w:t>
      </w:r>
      <w:r>
        <w:rPr>
          <w:rFonts w:ascii="Arial" w:hAnsi="Arial" w:cs="Arial"/>
          <w:szCs w:val="22"/>
        </w:rPr>
        <w:t>,</w:t>
      </w:r>
      <w:r>
        <w:rPr>
          <w:rFonts w:ascii="Arial" w:hAnsi="Arial" w:cs="Arial"/>
          <w:i/>
          <w:iCs/>
          <w:szCs w:val="22"/>
        </w:rPr>
        <w:t xml:space="preserve"> </w:t>
      </w:r>
      <w:r>
        <w:rPr>
          <w:rFonts w:ascii="Arial" w:hAnsi="Arial" w:cs="Arial"/>
          <w:szCs w:val="22"/>
        </w:rPr>
        <w:t>189-214.</w:t>
      </w:r>
    </w:p>
    <w:p w:rsidR="001C0D62" w:rsidRDefault="001C0D62">
      <w:pPr>
        <w:jc w:val="both"/>
        <w:rPr>
          <w:rFonts w:ascii="Arial" w:hAnsi="Arial" w:cs="Arial"/>
          <w:lang w:val="en-GB"/>
        </w:rPr>
      </w:pPr>
    </w:p>
    <w:p w:rsidR="001C0D62" w:rsidRDefault="001C0D62">
      <w:pPr>
        <w:jc w:val="both"/>
        <w:rPr>
          <w:rFonts w:ascii="Arial" w:hAnsi="Arial" w:cs="Arial"/>
          <w:szCs w:val="22"/>
        </w:rPr>
      </w:pPr>
      <w:r>
        <w:rPr>
          <w:rFonts w:ascii="Arial" w:hAnsi="Arial" w:cs="Arial"/>
          <w:szCs w:val="22"/>
        </w:rPr>
        <w:t xml:space="preserve">Smith, K.T. (1988). Wounding, compartmentalization, and treatment tradeoffs, </w:t>
      </w:r>
      <w:r>
        <w:rPr>
          <w:rFonts w:ascii="Arial" w:hAnsi="Arial" w:cs="Arial"/>
          <w:i/>
          <w:iCs/>
          <w:szCs w:val="22"/>
        </w:rPr>
        <w:t xml:space="preserve">Journal of Arbos6vulture </w:t>
      </w:r>
      <w:r>
        <w:rPr>
          <w:rFonts w:ascii="Arial" w:hAnsi="Arial" w:cs="Arial"/>
          <w:b/>
          <w:bCs/>
          <w:szCs w:val="22"/>
        </w:rPr>
        <w:t>14</w:t>
      </w:r>
      <w:r>
        <w:rPr>
          <w:rFonts w:ascii="Arial" w:hAnsi="Arial" w:cs="Arial"/>
          <w:i/>
          <w:iCs/>
          <w:szCs w:val="22"/>
        </w:rPr>
        <w:t xml:space="preserve">, </w:t>
      </w:r>
      <w:r>
        <w:rPr>
          <w:rFonts w:ascii="Arial" w:hAnsi="Arial" w:cs="Arial"/>
          <w:szCs w:val="22"/>
        </w:rPr>
        <w:t>226-229.</w:t>
      </w:r>
    </w:p>
    <w:p w:rsidR="001C0D62" w:rsidRDefault="001C0D62">
      <w:pPr>
        <w:jc w:val="both"/>
        <w:rPr>
          <w:rFonts w:ascii="Arial" w:hAnsi="Arial" w:cs="Arial"/>
          <w:szCs w:val="22"/>
        </w:rPr>
      </w:pPr>
    </w:p>
    <w:p w:rsidR="001C0D62" w:rsidRDefault="001C0D62">
      <w:pPr>
        <w:jc w:val="both"/>
        <w:rPr>
          <w:rFonts w:ascii="Arial" w:hAnsi="Arial" w:cs="Arial"/>
          <w:szCs w:val="18"/>
        </w:rPr>
      </w:pPr>
      <w:r>
        <w:rPr>
          <w:rFonts w:ascii="Arial" w:hAnsi="Arial" w:cs="Arial"/>
        </w:rPr>
        <w:t xml:space="preserve">Speer, J.H. (2010). </w:t>
      </w:r>
      <w:r>
        <w:rPr>
          <w:rFonts w:ascii="Arial" w:hAnsi="Arial" w:cs="Arial"/>
          <w:i/>
          <w:iCs/>
        </w:rPr>
        <w:t>Fundamentals of Tree-Ring Research</w:t>
      </w:r>
      <w:r>
        <w:rPr>
          <w:rFonts w:ascii="Arial" w:hAnsi="Arial" w:cs="Arial"/>
        </w:rPr>
        <w:t xml:space="preserve">, </w:t>
      </w:r>
      <w:smartTag w:uri="urn:schemas-microsoft-com:office:smarttags" w:element="PlaceType">
        <w:r>
          <w:rPr>
            <w:rFonts w:ascii="Arial" w:hAnsi="Arial" w:cs="Arial"/>
          </w:rPr>
          <w:t>University</w:t>
        </w:r>
      </w:smartTag>
      <w:r>
        <w:rPr>
          <w:rFonts w:ascii="Arial" w:hAnsi="Arial" w:cs="Arial"/>
        </w:rPr>
        <w:t xml:space="preserve"> of </w:t>
      </w:r>
      <w:smartTag w:uri="urn:schemas-microsoft-com:office:smarttags" w:element="PlaceName">
        <w:r>
          <w:rPr>
            <w:rFonts w:ascii="Arial" w:hAnsi="Arial" w:cs="Arial"/>
          </w:rPr>
          <w:t>Arizona</w:t>
        </w:r>
      </w:smartTag>
      <w:r>
        <w:rPr>
          <w:rFonts w:ascii="Arial" w:hAnsi="Arial" w:cs="Arial"/>
        </w:rPr>
        <w:t xml:space="preserve"> Press, </w:t>
      </w:r>
      <w:smartTag w:uri="urn:schemas-microsoft-com:office:smarttags" w:element="place">
        <w:smartTag w:uri="urn:schemas-microsoft-com:office:smarttags" w:element="City">
          <w:r>
            <w:rPr>
              <w:rFonts w:ascii="Arial" w:hAnsi="Arial" w:cs="Arial"/>
            </w:rPr>
            <w:t>Tuscon</w:t>
          </w:r>
        </w:smartTag>
        <w:r>
          <w:rPr>
            <w:rFonts w:ascii="Arial" w:hAnsi="Arial" w:cs="Arial"/>
          </w:rPr>
          <w:t xml:space="preserve">, </w:t>
        </w:r>
        <w:smartTag w:uri="urn:schemas-microsoft-com:office:smarttags" w:element="State">
          <w:r>
            <w:rPr>
              <w:rFonts w:ascii="Arial" w:hAnsi="Arial" w:cs="Arial"/>
            </w:rPr>
            <w:t>Arizona</w:t>
          </w:r>
        </w:smartTag>
      </w:smartTag>
      <w:r>
        <w:rPr>
          <w:rFonts w:ascii="Arial" w:hAnsi="Arial" w:cs="Arial"/>
        </w:rPr>
        <w:t>.</w:t>
      </w:r>
    </w:p>
    <w:p w:rsidR="001C0D62" w:rsidRDefault="001C0D62">
      <w:pPr>
        <w:jc w:val="both"/>
        <w:rPr>
          <w:rFonts w:ascii="Arial" w:hAnsi="Arial" w:cs="Arial"/>
        </w:rPr>
      </w:pPr>
      <w:r>
        <w:rPr>
          <w:rFonts w:ascii="Arial" w:hAnsi="Arial" w:cs="Arial"/>
          <w:szCs w:val="18"/>
        </w:rPr>
        <w:br/>
      </w:r>
      <w:r>
        <w:rPr>
          <w:rFonts w:ascii="Arial" w:hAnsi="Arial" w:cs="Arial"/>
        </w:rPr>
        <w:t xml:space="preserve">Speer, J.H. (2001). </w:t>
      </w:r>
      <w:r>
        <w:rPr>
          <w:rFonts w:ascii="Arial" w:hAnsi="Arial" w:cs="Arial"/>
          <w:i/>
          <w:iCs/>
        </w:rPr>
        <w:t>Oak Mast History from Dendrochronology: A New Technique Demonstrated in the Southern Appalachian Region</w:t>
      </w:r>
      <w:r>
        <w:rPr>
          <w:rFonts w:ascii="Arial" w:hAnsi="Arial" w:cs="Arial"/>
        </w:rPr>
        <w:t xml:space="preserve">, Ph.D. dissertation, </w:t>
      </w:r>
      <w:smartTag w:uri="urn:schemas-microsoft-com:office:smarttags" w:element="PlaceType">
        <w:r>
          <w:rPr>
            <w:rFonts w:ascii="Arial" w:hAnsi="Arial" w:cs="Arial"/>
          </w:rPr>
          <w:t>University</w:t>
        </w:r>
      </w:smartTag>
      <w:r>
        <w:rPr>
          <w:rFonts w:ascii="Arial" w:hAnsi="Arial" w:cs="Arial"/>
        </w:rPr>
        <w:t xml:space="preserve"> of </w:t>
      </w:r>
      <w:smartTag w:uri="urn:schemas-microsoft-com:office:smarttags" w:element="PlaceName">
        <w:r>
          <w:rPr>
            <w:rFonts w:ascii="Arial" w:hAnsi="Arial" w:cs="Arial"/>
          </w:rPr>
          <w:t>Tennessee</w:t>
        </w:r>
      </w:smartTag>
      <w:r>
        <w:rPr>
          <w:rFonts w:ascii="Arial" w:hAnsi="Arial" w:cs="Arial"/>
        </w:rPr>
        <w:t xml:space="preserve">, </w:t>
      </w:r>
      <w:smartTag w:uri="urn:schemas-microsoft-com:office:smarttags" w:element="City">
        <w:smartTag w:uri="urn:schemas-microsoft-com:office:smarttags" w:element="place">
          <w:r>
            <w:rPr>
              <w:rFonts w:ascii="Arial" w:hAnsi="Arial" w:cs="Arial"/>
            </w:rPr>
            <w:t>Knoxville</w:t>
          </w:r>
        </w:smartTag>
      </w:smartTag>
      <w:r>
        <w:rPr>
          <w:rFonts w:ascii="Arial" w:hAnsi="Arial" w:cs="Arial"/>
        </w:rPr>
        <w:t>.</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Speer, J.H., Grissino-Mayer, H.D., Orvis, K.H. &amp; Greenberg, C.H. (2009). Climate response of five oak species in the eastern deciduous forest of the southern Appalachian Mountains, </w:t>
      </w:r>
      <w:smartTag w:uri="urn:schemas-microsoft-com:office:smarttags" w:element="country-region">
        <w:smartTag w:uri="urn:schemas-microsoft-com:office:smarttags" w:element="place">
          <w:r>
            <w:rPr>
              <w:rFonts w:ascii="Arial" w:hAnsi="Arial" w:cs="Arial"/>
            </w:rPr>
            <w:t>USA</w:t>
          </w:r>
        </w:smartTag>
      </w:smartTag>
      <w:r>
        <w:rPr>
          <w:rFonts w:ascii="Arial" w:hAnsi="Arial" w:cs="Arial"/>
        </w:rPr>
        <w:t xml:space="preserve">, </w:t>
      </w:r>
      <w:r>
        <w:rPr>
          <w:rFonts w:ascii="Arial" w:hAnsi="Arial" w:cs="Arial"/>
          <w:i/>
          <w:iCs/>
        </w:rPr>
        <w:t>Canadian Journal of Forest Research</w:t>
      </w:r>
      <w:r>
        <w:rPr>
          <w:rFonts w:ascii="Arial" w:hAnsi="Arial" w:cs="Arial"/>
        </w:rPr>
        <w:t xml:space="preserve">, </w:t>
      </w:r>
      <w:r>
        <w:rPr>
          <w:rFonts w:ascii="Arial" w:hAnsi="Arial" w:cs="Arial"/>
          <w:b/>
          <w:bCs/>
        </w:rPr>
        <w:t>39</w:t>
      </w:r>
      <w:r>
        <w:rPr>
          <w:rFonts w:ascii="Arial" w:hAnsi="Arial" w:cs="Arial"/>
        </w:rPr>
        <w:t>, 3, 507-518.</w:t>
      </w:r>
      <w:r>
        <w:rPr>
          <w:rFonts w:ascii="Arial" w:hAnsi="Arial" w:cs="Arial"/>
        </w:rPr>
        <w:br/>
      </w:r>
      <w:r>
        <w:rPr>
          <w:rFonts w:ascii="Arial" w:hAnsi="Arial" w:cs="Arial"/>
        </w:rPr>
        <w:br/>
        <w:t xml:space="preserve">Stahle, D.W. &amp; Hehr, J.G. (1984). Dendroclimatic relationships of post oak across a precipitation gradient in the south-central United States, </w:t>
      </w:r>
      <w:r>
        <w:rPr>
          <w:rFonts w:ascii="Arial" w:hAnsi="Arial" w:cs="Arial"/>
          <w:i/>
          <w:iCs/>
        </w:rPr>
        <w:t>Annals of the Association of American Geographers</w:t>
      </w:r>
      <w:r>
        <w:rPr>
          <w:rFonts w:ascii="Arial" w:hAnsi="Arial" w:cs="Arial"/>
        </w:rPr>
        <w:t xml:space="preserve">, </w:t>
      </w:r>
      <w:r>
        <w:rPr>
          <w:rFonts w:ascii="Arial" w:hAnsi="Arial" w:cs="Arial"/>
          <w:b/>
          <w:bCs/>
        </w:rPr>
        <w:t>74</w:t>
      </w:r>
      <w:r>
        <w:rPr>
          <w:rFonts w:ascii="Arial" w:hAnsi="Arial" w:cs="Arial"/>
        </w:rPr>
        <w:t>, 4, 561-573.</w:t>
      </w:r>
    </w:p>
    <w:p w:rsidR="001C0D62" w:rsidRDefault="001C0D62">
      <w:pPr>
        <w:jc w:val="both"/>
        <w:rPr>
          <w:rFonts w:ascii="Arial" w:hAnsi="Arial" w:cs="Arial"/>
        </w:rPr>
      </w:pPr>
      <w:r>
        <w:rPr>
          <w:rFonts w:ascii="Arial" w:hAnsi="Arial" w:cs="Arial"/>
          <w:szCs w:val="18"/>
        </w:rPr>
        <w:br/>
      </w:r>
      <w:r>
        <w:rPr>
          <w:rFonts w:ascii="Arial" w:hAnsi="Arial" w:cs="Arial"/>
        </w:rPr>
        <w:t xml:space="preserve">Stahle, D.W., Therrell, M.D., Cleaveland, M.K., Cayan, D.R., Dettinger, M.D. &amp; Knowles, N. (2001). Ancient blue oaks reveal human impact on </w:t>
      </w:r>
      <w:smartTag w:uri="urn:schemas-microsoft-com:office:smarttags" w:element="place">
        <w:smartTag w:uri="urn:schemas-microsoft-com:office:smarttags" w:element="PlaceName">
          <w:r>
            <w:rPr>
              <w:rFonts w:ascii="Arial" w:hAnsi="Arial" w:cs="Arial"/>
            </w:rPr>
            <w:t>San Francisco</w:t>
          </w:r>
        </w:smartTag>
        <w:r>
          <w:rPr>
            <w:rFonts w:ascii="Arial" w:hAnsi="Arial" w:cs="Arial"/>
          </w:rPr>
          <w:t xml:space="preserve"> </w:t>
        </w:r>
        <w:smartTag w:uri="urn:schemas-microsoft-com:office:smarttags" w:element="PlaceType">
          <w:r>
            <w:rPr>
              <w:rFonts w:ascii="Arial" w:hAnsi="Arial" w:cs="Arial"/>
            </w:rPr>
            <w:t>Bay</w:t>
          </w:r>
        </w:smartTag>
      </w:smartTag>
      <w:r>
        <w:rPr>
          <w:rFonts w:ascii="Arial" w:hAnsi="Arial" w:cs="Arial"/>
        </w:rPr>
        <w:t xml:space="preserve"> salinity, </w:t>
      </w:r>
      <w:r>
        <w:rPr>
          <w:rFonts w:ascii="Arial" w:hAnsi="Arial" w:cs="Arial"/>
          <w:i/>
          <w:iCs/>
        </w:rPr>
        <w:t>Eos</w:t>
      </w:r>
      <w:r>
        <w:rPr>
          <w:rFonts w:ascii="Arial" w:hAnsi="Arial" w:cs="Arial"/>
        </w:rPr>
        <w:t xml:space="preserve">, </w:t>
      </w:r>
      <w:r>
        <w:rPr>
          <w:rFonts w:ascii="Arial" w:hAnsi="Arial" w:cs="Arial"/>
          <w:i/>
          <w:iCs/>
        </w:rPr>
        <w:t>Transactions of the American Geophysical Union</w:t>
      </w:r>
      <w:r>
        <w:rPr>
          <w:rFonts w:ascii="Arial" w:hAnsi="Arial" w:cs="Arial"/>
        </w:rPr>
        <w:t xml:space="preserve">, </w:t>
      </w:r>
      <w:r>
        <w:rPr>
          <w:rFonts w:ascii="Arial" w:hAnsi="Arial" w:cs="Arial"/>
          <w:b/>
          <w:bCs/>
        </w:rPr>
        <w:t>82</w:t>
      </w:r>
      <w:r>
        <w:rPr>
          <w:rFonts w:ascii="Arial" w:hAnsi="Arial" w:cs="Arial"/>
        </w:rPr>
        <w:t>, 12, 141, 144-145.</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Steppe, K., De Pauw, D.J.W., Lemeur, R. &amp; Vanrolleghem, P.A. (2006).  A mathematical model linking tree sap flow dynamics to daily stem diameter fluctuations and radial stem growth, </w:t>
      </w:r>
      <w:r>
        <w:rPr>
          <w:rFonts w:ascii="Arial" w:hAnsi="Arial" w:cs="Arial"/>
          <w:i/>
          <w:iCs/>
        </w:rPr>
        <w:t>Tree Physiology</w:t>
      </w:r>
      <w:r>
        <w:rPr>
          <w:rFonts w:ascii="Arial" w:hAnsi="Arial" w:cs="Arial"/>
        </w:rPr>
        <w:t xml:space="preserve">, </w:t>
      </w:r>
      <w:r>
        <w:rPr>
          <w:rFonts w:ascii="Arial" w:hAnsi="Arial" w:cs="Arial"/>
          <w:b/>
          <w:bCs/>
        </w:rPr>
        <w:t>26</w:t>
      </w:r>
      <w:r>
        <w:rPr>
          <w:rFonts w:ascii="Arial" w:hAnsi="Arial" w:cs="Arial"/>
        </w:rPr>
        <w:t>, 3, 257-273.</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Steppe, K. &amp; Lemeur, R. (2004). An experimental system for analysis of the dynamic sap-flow characteristics in young trees: result of a beech tree, </w:t>
      </w:r>
      <w:r>
        <w:rPr>
          <w:rFonts w:ascii="Arial" w:hAnsi="Arial" w:cs="Arial"/>
          <w:i/>
          <w:iCs/>
        </w:rPr>
        <w:t>Functional Plant Biology</w:t>
      </w:r>
      <w:r>
        <w:rPr>
          <w:rFonts w:ascii="Arial" w:hAnsi="Arial" w:cs="Arial"/>
        </w:rPr>
        <w:t xml:space="preserve">, </w:t>
      </w:r>
      <w:r>
        <w:rPr>
          <w:rFonts w:ascii="Arial" w:hAnsi="Arial" w:cs="Arial"/>
          <w:b/>
          <w:bCs/>
        </w:rPr>
        <w:t>31</w:t>
      </w:r>
      <w:r>
        <w:rPr>
          <w:rFonts w:ascii="Arial" w:hAnsi="Arial" w:cs="Arial"/>
        </w:rPr>
        <w:t>, 1, 83-92.</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szCs w:val="18"/>
        </w:rPr>
        <w:t xml:space="preserve">Suarez, M. L., Ghermandi, L. &amp; Kitzberger, T. (2004). Factors Predisposing Episodic Drought-Induced </w:t>
      </w:r>
      <w:r>
        <w:rPr>
          <w:rStyle w:val="Strong"/>
          <w:rFonts w:ascii="Arial" w:hAnsi="Arial" w:cs="Arial"/>
          <w:b w:val="0"/>
          <w:bCs w:val="0"/>
          <w:szCs w:val="18"/>
        </w:rPr>
        <w:t>Tree</w:t>
      </w:r>
      <w:r>
        <w:rPr>
          <w:rFonts w:ascii="Arial" w:hAnsi="Arial" w:cs="Arial"/>
          <w:szCs w:val="18"/>
        </w:rPr>
        <w:t xml:space="preserve"> Mortality in Nothofagus: Site, Climatic Sensitivity and </w:t>
      </w:r>
      <w:r>
        <w:rPr>
          <w:rStyle w:val="Strong"/>
          <w:rFonts w:ascii="Arial" w:hAnsi="Arial" w:cs="Arial"/>
          <w:b w:val="0"/>
          <w:bCs w:val="0"/>
          <w:szCs w:val="18"/>
        </w:rPr>
        <w:t>Growth</w:t>
      </w:r>
      <w:r>
        <w:rPr>
          <w:rFonts w:ascii="Arial" w:hAnsi="Arial" w:cs="Arial"/>
          <w:szCs w:val="18"/>
        </w:rPr>
        <w:t xml:space="preserve"> Trends, </w:t>
      </w:r>
      <w:r>
        <w:rPr>
          <w:rFonts w:ascii="Arial" w:hAnsi="Arial" w:cs="Arial"/>
          <w:i/>
          <w:iCs/>
          <w:szCs w:val="18"/>
        </w:rPr>
        <w:t>Journal of Ecology</w:t>
      </w:r>
      <w:r>
        <w:rPr>
          <w:rFonts w:ascii="Arial" w:hAnsi="Arial" w:cs="Arial"/>
          <w:szCs w:val="18"/>
        </w:rPr>
        <w:t xml:space="preserve">, </w:t>
      </w:r>
      <w:r>
        <w:rPr>
          <w:rFonts w:ascii="Arial" w:hAnsi="Arial" w:cs="Arial"/>
          <w:b/>
          <w:bCs/>
          <w:szCs w:val="18"/>
        </w:rPr>
        <w:t>92</w:t>
      </w:r>
      <w:r>
        <w:rPr>
          <w:rFonts w:ascii="Arial" w:hAnsi="Arial" w:cs="Arial"/>
          <w:szCs w:val="18"/>
        </w:rPr>
        <w:t>, 6, 954-966.</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lang w:val="en"/>
        </w:rPr>
        <w:t xml:space="preserve">Takahashi, K., Tokumitsu, Y. &amp; Yasue, K. (2005). </w:t>
      </w:r>
      <w:r>
        <w:rPr>
          <w:rFonts w:ascii="Arial" w:hAnsi="Arial" w:cs="Arial"/>
          <w:szCs w:val="18"/>
        </w:rPr>
        <w:t xml:space="preserve">Climatic factors </w:t>
      </w:r>
      <w:r>
        <w:rPr>
          <w:rStyle w:val="Strong"/>
          <w:rFonts w:ascii="Arial" w:hAnsi="Arial" w:cs="Arial"/>
          <w:b w:val="0"/>
          <w:bCs w:val="0"/>
          <w:szCs w:val="18"/>
        </w:rPr>
        <w:t>affecting</w:t>
      </w:r>
      <w:r>
        <w:rPr>
          <w:rFonts w:ascii="Arial" w:hAnsi="Arial" w:cs="Arial"/>
          <w:szCs w:val="18"/>
        </w:rPr>
        <w:t xml:space="preserve"> the tree-ring width of Betula ermanii at the timberline on Mount Norikura, central Japan, </w:t>
      </w:r>
      <w:r>
        <w:rPr>
          <w:rFonts w:ascii="Arial" w:hAnsi="Arial" w:cs="Arial"/>
          <w:i/>
          <w:iCs/>
          <w:szCs w:val="18"/>
        </w:rPr>
        <w:t>Ecological Research</w:t>
      </w:r>
      <w:r>
        <w:rPr>
          <w:rFonts w:ascii="Arial" w:hAnsi="Arial" w:cs="Arial"/>
          <w:szCs w:val="18"/>
        </w:rPr>
        <w:t xml:space="preserve">, </w:t>
      </w:r>
      <w:r>
        <w:rPr>
          <w:rFonts w:ascii="Arial" w:hAnsi="Arial" w:cs="Arial"/>
          <w:b/>
          <w:bCs/>
          <w:szCs w:val="18"/>
        </w:rPr>
        <w:t>20</w:t>
      </w:r>
      <w:r>
        <w:rPr>
          <w:rFonts w:ascii="Arial" w:hAnsi="Arial" w:cs="Arial"/>
          <w:szCs w:val="18"/>
        </w:rPr>
        <w:t>, 4, 445-451.</w:t>
      </w:r>
    </w:p>
    <w:p w:rsidR="001C0D62" w:rsidRDefault="001C0D62">
      <w:pPr>
        <w:jc w:val="both"/>
        <w:rPr>
          <w:rFonts w:ascii="Arial" w:hAnsi="Arial" w:cs="Arial"/>
        </w:rPr>
      </w:pPr>
    </w:p>
    <w:p w:rsidR="001C0D62" w:rsidRDefault="001C0D62">
      <w:pPr>
        <w:jc w:val="both"/>
        <w:rPr>
          <w:rFonts w:ascii="Arial" w:hAnsi="Arial" w:cs="Arial"/>
        </w:rPr>
      </w:pPr>
      <w:smartTag w:uri="urn:schemas-microsoft-com:office:smarttags" w:element="place">
        <w:smartTag w:uri="urn:schemas-microsoft-com:office:smarttags" w:element="PlaceName">
          <w:r>
            <w:rPr>
              <w:rFonts w:ascii="Arial" w:hAnsi="Arial" w:cs="Arial"/>
              <w:lang w:val="en"/>
            </w:rPr>
            <w:t>Texas</w:t>
          </w:r>
        </w:smartTag>
        <w:r>
          <w:rPr>
            <w:rFonts w:ascii="Arial" w:hAnsi="Arial" w:cs="Arial"/>
            <w:lang w:val="en"/>
          </w:rPr>
          <w:t xml:space="preserve"> </w:t>
        </w:r>
        <w:smartTag w:uri="urn:schemas-microsoft-com:office:smarttags" w:element="PlaceType">
          <w:r>
            <w:rPr>
              <w:rFonts w:ascii="Arial" w:hAnsi="Arial" w:cs="Arial"/>
              <w:lang w:val="en"/>
            </w:rPr>
            <w:t>Forest</w:t>
          </w:r>
        </w:smartTag>
      </w:smartTag>
      <w:r>
        <w:rPr>
          <w:rFonts w:ascii="Arial" w:hAnsi="Arial" w:cs="Arial"/>
          <w:lang w:val="en"/>
        </w:rPr>
        <w:t xml:space="preserve"> Service (n.d.). Effects of drought stress on trees and landscape plants. Available at: </w:t>
      </w:r>
      <w:hyperlink r:id="rId66" w:history="1">
        <w:r>
          <w:rPr>
            <w:rStyle w:val="Hyperlink"/>
            <w:rFonts w:ascii="Arial" w:hAnsi="Arial" w:cs="Arial"/>
            <w:color w:val="auto"/>
            <w:u w:val="none"/>
            <w:lang w:val="en"/>
          </w:rPr>
          <w:t>http://txforestservice.tamu.edu/main/popup.aspx?id=1283. html</w:t>
        </w:r>
      </w:hyperlink>
      <w:r>
        <w:rPr>
          <w:rFonts w:ascii="Arial" w:hAnsi="Arial" w:cs="Arial"/>
          <w:lang w:val="en"/>
        </w:rPr>
        <w:t>. Accessed 16 July 2012.</w:t>
      </w:r>
    </w:p>
    <w:p w:rsidR="001C0D62" w:rsidRDefault="001C0D62">
      <w:pPr>
        <w:jc w:val="both"/>
        <w:rPr>
          <w:rFonts w:ascii="Arial" w:hAnsi="Arial" w:cs="Arial"/>
        </w:rPr>
      </w:pPr>
    </w:p>
    <w:p w:rsidR="001C0D62" w:rsidRDefault="001C0D62">
      <w:pPr>
        <w:jc w:val="both"/>
        <w:rPr>
          <w:rFonts w:ascii="Arial" w:hAnsi="Arial" w:cs="Arial"/>
          <w:lang w:val="en"/>
        </w:rPr>
      </w:pPr>
      <w:r>
        <w:rPr>
          <w:rFonts w:ascii="Arial" w:hAnsi="Arial" w:cs="Arial"/>
          <w:lang w:val="en"/>
        </w:rPr>
        <w:t xml:space="preserve">The Laboratory of Tree-Ring Research (2012). About Tree Rings. Available at: </w:t>
      </w:r>
      <w:hyperlink r:id="rId67" w:history="1">
        <w:r>
          <w:rPr>
            <w:rStyle w:val="Hyperlink"/>
            <w:rFonts w:ascii="Arial" w:hAnsi="Arial" w:cs="Arial"/>
            <w:color w:val="auto"/>
            <w:u w:val="none"/>
            <w:lang w:val="en"/>
          </w:rPr>
          <w:t>http://ltrr.arizona.edu/about/treerings.html</w:t>
        </w:r>
      </w:hyperlink>
      <w:r>
        <w:rPr>
          <w:rFonts w:ascii="Arial" w:hAnsi="Arial" w:cs="Arial"/>
          <w:lang w:val="en"/>
        </w:rPr>
        <w:t>. Accessed 27 September 2012.</w:t>
      </w:r>
    </w:p>
    <w:p w:rsidR="001C0D62" w:rsidRDefault="001C0D62">
      <w:pPr>
        <w:jc w:val="both"/>
        <w:rPr>
          <w:rFonts w:ascii="Arial" w:hAnsi="Arial" w:cs="Arial"/>
          <w:lang w:val="en"/>
        </w:rPr>
      </w:pPr>
    </w:p>
    <w:p w:rsidR="001C0D62" w:rsidRDefault="001C0D62">
      <w:pPr>
        <w:jc w:val="both"/>
        <w:rPr>
          <w:rFonts w:ascii="Arial" w:hAnsi="Arial" w:cs="Arial"/>
        </w:rPr>
      </w:pPr>
      <w:r>
        <w:rPr>
          <w:rFonts w:ascii="Arial" w:hAnsi="Arial" w:cs="Arial"/>
        </w:rPr>
        <w:t xml:space="preserve">Thomas, M. D. (1961). Effects of air pollution on plants. In Air Pollution World Health Organisation, </w:t>
      </w:r>
      <w:smartTag w:uri="urn:schemas-microsoft-com:office:smarttags" w:element="City">
        <w:smartTag w:uri="urn:schemas-microsoft-com:office:smarttags" w:element="place">
          <w:r>
            <w:rPr>
              <w:rFonts w:ascii="Arial" w:hAnsi="Arial" w:cs="Arial"/>
            </w:rPr>
            <w:t>Geneva</w:t>
          </w:r>
        </w:smartTag>
      </w:smartTag>
      <w:r>
        <w:rPr>
          <w:rFonts w:ascii="Arial" w:hAnsi="Arial" w:cs="Arial"/>
        </w:rPr>
        <w:t>, 233-278.</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Till, C. &amp; Guiot, J. (1990). Reconstruction of precipitation in </w:t>
      </w:r>
      <w:smartTag w:uri="urn:schemas-microsoft-com:office:smarttags" w:element="country-region">
        <w:smartTag w:uri="urn:schemas-microsoft-com:office:smarttags" w:element="place">
          <w:r>
            <w:rPr>
              <w:rFonts w:ascii="Arial" w:hAnsi="Arial" w:cs="Arial"/>
            </w:rPr>
            <w:t>Morocco</w:t>
          </w:r>
        </w:smartTag>
      </w:smartTag>
      <w:r>
        <w:rPr>
          <w:rFonts w:ascii="Arial" w:hAnsi="Arial" w:cs="Arial"/>
        </w:rPr>
        <w:t xml:space="preserve"> since 1100A.D. based on </w:t>
      </w:r>
      <w:r>
        <w:rPr>
          <w:rFonts w:ascii="Arial" w:hAnsi="Arial" w:cs="Arial"/>
          <w:i/>
          <w:iCs/>
        </w:rPr>
        <w:t>Cedrus atlantica</w:t>
      </w:r>
      <w:r>
        <w:rPr>
          <w:rFonts w:ascii="Arial" w:hAnsi="Arial" w:cs="Arial"/>
        </w:rPr>
        <w:t xml:space="preserve"> tree-ring widths, </w:t>
      </w:r>
      <w:r>
        <w:rPr>
          <w:rFonts w:ascii="Arial" w:hAnsi="Arial" w:cs="Arial"/>
          <w:i/>
          <w:iCs/>
        </w:rPr>
        <w:t>Quaternary Research</w:t>
      </w:r>
      <w:r>
        <w:rPr>
          <w:rFonts w:ascii="Arial" w:hAnsi="Arial" w:cs="Arial"/>
        </w:rPr>
        <w:t xml:space="preserve">, </w:t>
      </w:r>
      <w:r>
        <w:rPr>
          <w:rFonts w:ascii="Arial" w:hAnsi="Arial" w:cs="Arial"/>
          <w:b/>
          <w:bCs/>
        </w:rPr>
        <w:t>33</w:t>
      </w:r>
      <w:r>
        <w:rPr>
          <w:rFonts w:ascii="Arial" w:hAnsi="Arial" w:cs="Arial"/>
        </w:rPr>
        <w:t>, 3, 337-351.</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Tissier, J., Lambs, L., Peltier, J.P. &amp; Marigo, G. (2004). Relationships between hydraulic traits and habitat preference for six Acer species occurring in the French Alps, </w:t>
      </w:r>
      <w:r>
        <w:rPr>
          <w:rFonts w:ascii="Arial" w:hAnsi="Arial" w:cs="Arial"/>
          <w:i/>
          <w:iCs/>
        </w:rPr>
        <w:t>Annals of Forest Science</w:t>
      </w:r>
      <w:r>
        <w:rPr>
          <w:rFonts w:ascii="Arial" w:hAnsi="Arial" w:cs="Arial"/>
        </w:rPr>
        <w:t xml:space="preserve">, </w:t>
      </w:r>
      <w:r>
        <w:rPr>
          <w:rFonts w:ascii="Arial" w:hAnsi="Arial" w:cs="Arial"/>
          <w:b/>
          <w:bCs/>
        </w:rPr>
        <w:t>61</w:t>
      </w:r>
      <w:r>
        <w:rPr>
          <w:rFonts w:ascii="Arial" w:hAnsi="Arial" w:cs="Arial"/>
        </w:rPr>
        <w:t>, 1, 81-86.</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Touchan, R., Meko, D.M. &amp; Hughes, M.K. (1999). A 396 year reconstruction of precipitation in </w:t>
      </w:r>
      <w:smartTag w:uri="urn:schemas-microsoft-com:office:smarttags" w:element="place">
        <w:r>
          <w:rPr>
            <w:rFonts w:ascii="Arial" w:hAnsi="Arial" w:cs="Arial"/>
          </w:rPr>
          <w:t>Southern Jordan</w:t>
        </w:r>
      </w:smartTag>
      <w:r>
        <w:rPr>
          <w:rFonts w:ascii="Arial" w:hAnsi="Arial" w:cs="Arial"/>
        </w:rPr>
        <w:t xml:space="preserve">, </w:t>
      </w:r>
      <w:r>
        <w:rPr>
          <w:rFonts w:ascii="Arial" w:hAnsi="Arial" w:cs="Arial"/>
          <w:i/>
          <w:iCs/>
        </w:rPr>
        <w:t>Journal of the American Water Resources Association</w:t>
      </w:r>
      <w:r>
        <w:rPr>
          <w:rFonts w:ascii="Arial" w:hAnsi="Arial" w:cs="Arial"/>
        </w:rPr>
        <w:t xml:space="preserve">, </w:t>
      </w:r>
      <w:r>
        <w:rPr>
          <w:rFonts w:ascii="Arial" w:hAnsi="Arial" w:cs="Arial"/>
          <w:b/>
          <w:bCs/>
        </w:rPr>
        <w:t>35</w:t>
      </w:r>
      <w:r>
        <w:rPr>
          <w:rFonts w:ascii="Arial" w:hAnsi="Arial" w:cs="Arial"/>
        </w:rPr>
        <w:t>, 1, 45-59.</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Tree-Ring Services (2012). An introduction to dendrochronology. Available at: </w:t>
      </w:r>
      <w:hyperlink r:id="rId68" w:history="1">
        <w:r>
          <w:rPr>
            <w:rStyle w:val="Hyperlink"/>
            <w:rFonts w:ascii="Arial" w:hAnsi="Arial" w:cs="Arial"/>
            <w:color w:val="auto"/>
            <w:u w:val="none"/>
          </w:rPr>
          <w:t>http://www.tree-ring.co.uk/Tree-ring%20Dating/Tree-Ring%20Dating.html</w:t>
        </w:r>
      </w:hyperlink>
      <w:r>
        <w:rPr>
          <w:rFonts w:ascii="Arial" w:hAnsi="Arial" w:cs="Arial"/>
        </w:rPr>
        <w:t>. Accessed 25 September 2012.</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Vinš, B. &amp; Tesař, V. (1969). Increment loss due to smoke emissions in the region of Trutnov. Vŷzkumnŷ Ŭstav, Lesniho Hospodařstvi a Myslivosti, zbraslav-strady, </w:t>
      </w:r>
      <w:smartTag w:uri="urn:schemas-microsoft-com:office:smarttags" w:element="country-region">
        <w:smartTag w:uri="urn:schemas-microsoft-com:office:smarttags" w:element="place">
          <w:r>
            <w:rPr>
              <w:rFonts w:ascii="Arial" w:hAnsi="Arial" w:cs="Arial"/>
            </w:rPr>
            <w:t>Czechoslovakia</w:t>
          </w:r>
        </w:smartTag>
      </w:smartTag>
      <w:r>
        <w:rPr>
          <w:rFonts w:ascii="Arial" w:hAnsi="Arial" w:cs="Arial"/>
        </w:rPr>
        <w:t xml:space="preserve">, </w:t>
      </w:r>
      <w:r>
        <w:rPr>
          <w:rFonts w:ascii="Arial" w:hAnsi="Arial" w:cs="Arial"/>
          <w:i/>
          <w:iCs/>
        </w:rPr>
        <w:t>Prace Vũlhm</w:t>
      </w:r>
      <w:r>
        <w:rPr>
          <w:rFonts w:ascii="Arial" w:hAnsi="Arial" w:cs="Arial"/>
        </w:rPr>
        <w:t xml:space="preserve">, </w:t>
      </w:r>
      <w:r>
        <w:rPr>
          <w:rFonts w:ascii="Arial" w:hAnsi="Arial" w:cs="Arial"/>
          <w:b/>
          <w:bCs/>
        </w:rPr>
        <w:t>38</w:t>
      </w:r>
      <w:r>
        <w:rPr>
          <w:rFonts w:ascii="Arial" w:hAnsi="Arial" w:cs="Arial"/>
        </w:rPr>
        <w:t>, 141-158.</w:t>
      </w:r>
    </w:p>
    <w:p w:rsidR="001C0D62" w:rsidRDefault="001C0D62">
      <w:pPr>
        <w:jc w:val="both"/>
        <w:rPr>
          <w:rFonts w:ascii="Arial" w:hAnsi="Arial" w:cs="Arial"/>
        </w:rPr>
      </w:pPr>
    </w:p>
    <w:p w:rsidR="001C0D62" w:rsidRDefault="001C0D62">
      <w:pPr>
        <w:jc w:val="both"/>
        <w:rPr>
          <w:rFonts w:ascii="Arial" w:hAnsi="Arial" w:cs="Arial"/>
        </w:rPr>
      </w:pPr>
      <w:r>
        <w:rPr>
          <w:rStyle w:val="cit-name-surname"/>
          <w:rFonts w:ascii="Arial" w:hAnsi="Arial" w:cs="Arial"/>
          <w:color w:val="000000"/>
          <w:lang w:val="en"/>
        </w:rPr>
        <w:t>Way,</w:t>
      </w:r>
      <w:r>
        <w:rPr>
          <w:rStyle w:val="cit-auth"/>
          <w:rFonts w:ascii="Arial" w:hAnsi="Arial" w:cs="Arial"/>
          <w:color w:val="000000"/>
          <w:lang w:val="en"/>
        </w:rPr>
        <w:t xml:space="preserve"> </w:t>
      </w:r>
      <w:r>
        <w:rPr>
          <w:rStyle w:val="cit-name-given-names"/>
          <w:rFonts w:ascii="Arial" w:hAnsi="Arial" w:cs="Arial"/>
          <w:color w:val="000000"/>
          <w:lang w:val="en"/>
        </w:rPr>
        <w:t>D.A.</w:t>
      </w:r>
      <w:r>
        <w:rPr>
          <w:rFonts w:ascii="Arial" w:hAnsi="Arial" w:cs="Arial"/>
          <w:color w:val="000000"/>
          <w:lang w:val="en"/>
        </w:rPr>
        <w:t xml:space="preserve"> &amp;</w:t>
      </w:r>
      <w:r>
        <w:rPr>
          <w:rStyle w:val="HTMLCite"/>
          <w:rFonts w:ascii="Arial" w:hAnsi="Arial" w:cs="Arial"/>
          <w:color w:val="000000"/>
          <w:lang w:val="en"/>
        </w:rPr>
        <w:t xml:space="preserve"> O</w:t>
      </w:r>
      <w:r>
        <w:rPr>
          <w:rStyle w:val="cit-name-surname"/>
          <w:rFonts w:ascii="Arial" w:hAnsi="Arial" w:cs="Arial"/>
          <w:color w:val="000000"/>
          <w:lang w:val="en"/>
        </w:rPr>
        <w:t>ren</w:t>
      </w:r>
      <w:r>
        <w:rPr>
          <w:rStyle w:val="cit-auth"/>
          <w:rFonts w:ascii="Arial" w:hAnsi="Arial" w:cs="Arial"/>
          <w:color w:val="000000"/>
          <w:lang w:val="en"/>
        </w:rPr>
        <w:t xml:space="preserve"> </w:t>
      </w:r>
      <w:r>
        <w:rPr>
          <w:rStyle w:val="cit-name-given-names"/>
          <w:rFonts w:ascii="Arial" w:hAnsi="Arial" w:cs="Arial"/>
          <w:color w:val="000000"/>
          <w:lang w:val="en"/>
        </w:rPr>
        <w:t xml:space="preserve">R. (2010). </w:t>
      </w:r>
      <w:r>
        <w:rPr>
          <w:rStyle w:val="cit-article-title"/>
          <w:rFonts w:ascii="Arial" w:hAnsi="Arial" w:cs="Arial"/>
          <w:color w:val="000000"/>
          <w:lang w:val="en"/>
        </w:rPr>
        <w:t xml:space="preserve">Differential responses to changes in growth temperature between trees from different functional groups and biomes: a review and synthesis of data, </w:t>
      </w:r>
      <w:r>
        <w:rPr>
          <w:rStyle w:val="cit-article-title"/>
          <w:rFonts w:ascii="Arial" w:hAnsi="Arial" w:cs="Arial"/>
          <w:i/>
          <w:iCs/>
          <w:color w:val="000000"/>
          <w:lang w:val="en"/>
        </w:rPr>
        <w:t>Tree Physiology</w:t>
      </w:r>
      <w:r>
        <w:rPr>
          <w:rStyle w:val="cit-article-title"/>
          <w:rFonts w:ascii="Arial" w:hAnsi="Arial" w:cs="Arial"/>
          <w:color w:val="000000"/>
          <w:lang w:val="en"/>
        </w:rPr>
        <w:t xml:space="preserve">, </w:t>
      </w:r>
      <w:r>
        <w:rPr>
          <w:rStyle w:val="cit-article-title"/>
          <w:rFonts w:ascii="Arial" w:hAnsi="Arial" w:cs="Arial"/>
          <w:b/>
          <w:bCs/>
          <w:color w:val="000000"/>
          <w:lang w:val="en"/>
        </w:rPr>
        <w:t>30</w:t>
      </w:r>
      <w:r>
        <w:rPr>
          <w:rStyle w:val="cit-article-title"/>
          <w:rFonts w:ascii="Arial" w:hAnsi="Arial" w:cs="Arial"/>
          <w:color w:val="000000"/>
          <w:lang w:val="en"/>
        </w:rPr>
        <w:t>, 669-688.</w:t>
      </w:r>
    </w:p>
    <w:p w:rsidR="001C0D62" w:rsidRDefault="001C0D62">
      <w:pPr>
        <w:jc w:val="both"/>
        <w:rPr>
          <w:rFonts w:ascii="Arial" w:hAnsi="Arial" w:cs="Arial"/>
          <w:highlight w:val="green"/>
        </w:rPr>
      </w:pPr>
    </w:p>
    <w:p w:rsidR="001C0D62" w:rsidRDefault="001C0D62">
      <w:pPr>
        <w:jc w:val="both"/>
        <w:rPr>
          <w:rFonts w:ascii="Arial" w:hAnsi="Arial" w:cs="Arial"/>
          <w:highlight w:val="magenta"/>
        </w:rPr>
      </w:pPr>
      <w:r>
        <w:rPr>
          <w:rFonts w:ascii="Arial" w:hAnsi="Arial" w:cs="Arial"/>
          <w:lang w:val="en-GB"/>
        </w:rPr>
        <w:t xml:space="preserve">Wendland, W.M. (1975). An objective method to identify missing or false rings, </w:t>
      </w:r>
      <w:r>
        <w:rPr>
          <w:rFonts w:ascii="Arial" w:hAnsi="Arial" w:cs="Arial"/>
          <w:i/>
          <w:iCs/>
          <w:lang w:val="en-GB"/>
        </w:rPr>
        <w:t>Tree-Ring Bulletin</w:t>
      </w:r>
      <w:r>
        <w:rPr>
          <w:rFonts w:ascii="Arial" w:hAnsi="Arial" w:cs="Arial"/>
          <w:lang w:val="en-GB"/>
        </w:rPr>
        <w:t xml:space="preserve">, </w:t>
      </w:r>
      <w:r>
        <w:rPr>
          <w:rFonts w:ascii="Arial" w:hAnsi="Arial" w:cs="Arial"/>
          <w:b/>
          <w:bCs/>
          <w:lang w:val="en-GB"/>
        </w:rPr>
        <w:t>35</w:t>
      </w:r>
      <w:r>
        <w:rPr>
          <w:rFonts w:ascii="Arial" w:hAnsi="Arial" w:cs="Arial"/>
          <w:lang w:val="en-GB"/>
        </w:rPr>
        <w:t>, 41-47.</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White, P.B., Van de Gevel, S.L., Grissino-Mayer, H.D., Laforest, L.B. &amp; Deweese, G.G. (2011). Climatic response of oak species across an enviornmentla gradient in the southern Appalachian Mountains, </w:t>
      </w:r>
      <w:smartTag w:uri="urn:schemas-microsoft-com:office:smarttags" w:element="country-region">
        <w:smartTag w:uri="urn:schemas-microsoft-com:office:smarttags" w:element="place">
          <w:r>
            <w:rPr>
              <w:rFonts w:ascii="Arial" w:hAnsi="Arial" w:cs="Arial"/>
            </w:rPr>
            <w:t>USA</w:t>
          </w:r>
        </w:smartTag>
      </w:smartTag>
      <w:r>
        <w:rPr>
          <w:rFonts w:ascii="Arial" w:hAnsi="Arial" w:cs="Arial"/>
        </w:rPr>
        <w:t xml:space="preserve">, </w:t>
      </w:r>
      <w:r>
        <w:rPr>
          <w:rFonts w:ascii="Arial" w:hAnsi="Arial" w:cs="Arial"/>
          <w:i/>
          <w:iCs/>
        </w:rPr>
        <w:t>Tree-ring Research</w:t>
      </w:r>
      <w:r>
        <w:rPr>
          <w:rFonts w:ascii="Arial" w:hAnsi="Arial" w:cs="Arial"/>
        </w:rPr>
        <w:t xml:space="preserve">, </w:t>
      </w:r>
      <w:r>
        <w:rPr>
          <w:rFonts w:ascii="Arial" w:hAnsi="Arial" w:cs="Arial"/>
          <w:b/>
          <w:bCs/>
        </w:rPr>
        <w:t>67</w:t>
      </w:r>
      <w:r>
        <w:rPr>
          <w:rFonts w:ascii="Arial" w:hAnsi="Arial" w:cs="Arial"/>
        </w:rPr>
        <w:t>, 1, 27-37.</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Williams, P. (n.d). Introduction to Tree-Ring Research – a 2 week lab module. Available at:</w:t>
      </w:r>
      <w:hyperlink r:id="rId69" w:history="1">
        <w:r>
          <w:rPr>
            <w:rStyle w:val="Hyperlink"/>
            <w:rFonts w:ascii="Arial" w:hAnsi="Arial" w:cs="Arial"/>
            <w:color w:val="auto"/>
            <w:u w:val="none"/>
          </w:rPr>
          <w:t>http://www.geog.ucsb.edu/~williams/geog167lab/treeringresearchlab.</w:t>
        </w:r>
        <w:r>
          <w:rPr>
            <w:rStyle w:val="Hyperlink"/>
            <w:rFonts w:ascii="Arial" w:hAnsi="Arial" w:cs="Arial"/>
            <w:color w:val="auto"/>
            <w:u w:val="none"/>
          </w:rPr>
          <w:br/>
          <w:t>pdf.html</w:t>
        </w:r>
      </w:hyperlink>
      <w:r>
        <w:rPr>
          <w:rFonts w:ascii="Arial" w:hAnsi="Arial" w:cs="Arial"/>
        </w:rPr>
        <w:t>. Accessed 29 September 2012.</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Williams, M.A.J., Dunkerley, D.L., De Deckker, P., Kershaw, A.P. &amp; Stokes, T. (1993). </w:t>
      </w:r>
      <w:r>
        <w:rPr>
          <w:rFonts w:ascii="Arial" w:hAnsi="Arial" w:cs="Arial"/>
          <w:i/>
          <w:iCs/>
        </w:rPr>
        <w:t>Quaternary Environments</w:t>
      </w:r>
      <w:r>
        <w:rPr>
          <w:rFonts w:ascii="Arial" w:hAnsi="Arial" w:cs="Arial"/>
        </w:rPr>
        <w:t xml:space="preserve">, Edward Arnold, </w:t>
      </w:r>
      <w:smartTag w:uri="urn:schemas-microsoft-com:office:smarttags" w:element="City">
        <w:smartTag w:uri="urn:schemas-microsoft-com:office:smarttags" w:element="place">
          <w:r>
            <w:rPr>
              <w:rFonts w:ascii="Arial" w:hAnsi="Arial" w:cs="Arial"/>
            </w:rPr>
            <w:t>London</w:t>
          </w:r>
        </w:smartTag>
      </w:smartTag>
      <w:r>
        <w:rPr>
          <w:rFonts w:ascii="Arial" w:hAnsi="Arial" w:cs="Arial"/>
        </w:rPr>
        <w:t>.</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Yang, Y., Watanabe, M., Li, F., Zhang, J., Zhang, W. &amp; Zhai, J. (2006). </w:t>
      </w:r>
      <w:r>
        <w:rPr>
          <w:rFonts w:ascii="Arial" w:hAnsi="Arial" w:cs="Arial"/>
          <w:color w:val="000000"/>
          <w:lang w:val="en"/>
        </w:rPr>
        <w:t xml:space="preserve">Factors affecting forest growth and possible effects of climate change in the </w:t>
      </w:r>
      <w:smartTag w:uri="urn:schemas-microsoft-com:office:smarttags" w:element="PlaceName">
        <w:r>
          <w:rPr>
            <w:rFonts w:ascii="Arial" w:hAnsi="Arial" w:cs="Arial"/>
            <w:color w:val="000000"/>
            <w:lang w:val="en"/>
          </w:rPr>
          <w:t>Taihang</w:t>
        </w:r>
      </w:smartTag>
      <w:r>
        <w:rPr>
          <w:rFonts w:ascii="Arial" w:hAnsi="Arial" w:cs="Arial"/>
          <w:color w:val="000000"/>
          <w:lang w:val="en"/>
        </w:rPr>
        <w:t xml:space="preserve"> </w:t>
      </w:r>
      <w:smartTag w:uri="urn:schemas-microsoft-com:office:smarttags" w:element="PlaceType">
        <w:r>
          <w:rPr>
            <w:rFonts w:ascii="Arial" w:hAnsi="Arial" w:cs="Arial"/>
            <w:color w:val="000000"/>
            <w:lang w:val="en"/>
          </w:rPr>
          <w:t>Mountains</w:t>
        </w:r>
      </w:smartTag>
      <w:r>
        <w:rPr>
          <w:rFonts w:ascii="Arial" w:hAnsi="Arial" w:cs="Arial"/>
          <w:color w:val="000000"/>
          <w:lang w:val="en"/>
        </w:rPr>
        <w:t xml:space="preserve">, northern </w:t>
      </w:r>
      <w:smartTag w:uri="urn:schemas-microsoft-com:office:smarttags" w:element="country-region">
        <w:smartTag w:uri="urn:schemas-microsoft-com:office:smarttags" w:element="place">
          <w:r>
            <w:rPr>
              <w:rFonts w:ascii="Arial" w:hAnsi="Arial" w:cs="Arial"/>
              <w:color w:val="000000"/>
              <w:lang w:val="en"/>
            </w:rPr>
            <w:t>China</w:t>
          </w:r>
        </w:smartTag>
      </w:smartTag>
      <w:r>
        <w:rPr>
          <w:rFonts w:ascii="Arial" w:hAnsi="Arial" w:cs="Arial"/>
          <w:color w:val="000000"/>
          <w:lang w:val="en"/>
        </w:rPr>
        <w:t xml:space="preserve">, </w:t>
      </w:r>
      <w:r>
        <w:rPr>
          <w:rFonts w:ascii="Arial" w:hAnsi="Arial" w:cs="Arial"/>
          <w:i/>
          <w:iCs/>
          <w:color w:val="000000"/>
          <w:lang w:val="en"/>
        </w:rPr>
        <w:t>Forestry</w:t>
      </w:r>
      <w:r>
        <w:rPr>
          <w:rFonts w:ascii="Arial" w:hAnsi="Arial" w:cs="Arial"/>
          <w:color w:val="000000"/>
          <w:lang w:val="en"/>
        </w:rPr>
        <w:t xml:space="preserve">, </w:t>
      </w:r>
      <w:r>
        <w:rPr>
          <w:rFonts w:ascii="Arial" w:hAnsi="Arial" w:cs="Arial"/>
          <w:b/>
          <w:bCs/>
          <w:color w:val="000000"/>
          <w:lang w:val="en"/>
        </w:rPr>
        <w:t>79</w:t>
      </w:r>
      <w:r>
        <w:rPr>
          <w:rFonts w:ascii="Arial" w:hAnsi="Arial" w:cs="Arial"/>
          <w:color w:val="000000"/>
          <w:lang w:val="en"/>
        </w:rPr>
        <w:t>, 1, 135-147.</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Zweifel, R., Zimmermann, L. &amp; Newbery, D.M. (2005). Modeling tree water deficit from microclimate: an approach to quantifying drought stress, </w:t>
      </w:r>
      <w:r>
        <w:rPr>
          <w:rFonts w:ascii="Arial" w:hAnsi="Arial" w:cs="Arial"/>
          <w:i/>
          <w:iCs/>
        </w:rPr>
        <w:t>Tree Physiology</w:t>
      </w:r>
      <w:r>
        <w:rPr>
          <w:rFonts w:ascii="Arial" w:hAnsi="Arial" w:cs="Arial"/>
        </w:rPr>
        <w:t xml:space="preserve">, </w:t>
      </w:r>
      <w:r>
        <w:rPr>
          <w:rFonts w:ascii="Arial" w:hAnsi="Arial" w:cs="Arial"/>
          <w:b/>
          <w:bCs/>
        </w:rPr>
        <w:t>25</w:t>
      </w:r>
      <w:r>
        <w:rPr>
          <w:rFonts w:ascii="Arial" w:hAnsi="Arial" w:cs="Arial"/>
        </w:rPr>
        <w:t>, 2, 147-156.</w:t>
      </w:r>
    </w:p>
    <w:p w:rsidR="001C0D62" w:rsidRDefault="001C0D62">
      <w:pPr>
        <w:jc w:val="both"/>
        <w:rPr>
          <w:rFonts w:ascii="Arial" w:hAnsi="Arial" w:cs="Arial"/>
        </w:rPr>
      </w:pPr>
    </w:p>
    <w:p w:rsidR="001C0D62" w:rsidRDefault="001C0D62">
      <w:pPr>
        <w:jc w:val="both"/>
        <w:rPr>
          <w:rFonts w:ascii="Arial" w:hAnsi="Arial" w:cs="Arial"/>
        </w:rPr>
      </w:pPr>
      <w:r>
        <w:rPr>
          <w:rFonts w:ascii="Arial" w:hAnsi="Arial" w:cs="Arial"/>
        </w:rPr>
        <w:t xml:space="preserve">Zweifel, R., Zimmermann, L., Zeugin, F. &amp; Newbery, D.M. (2006). Intra-annual radial growth and water relations of trees: implications towards a growth mechanism, </w:t>
      </w:r>
      <w:r>
        <w:rPr>
          <w:rFonts w:ascii="Arial" w:hAnsi="Arial" w:cs="Arial"/>
          <w:i/>
          <w:iCs/>
        </w:rPr>
        <w:t>Journal of Experimental Botany</w:t>
      </w:r>
      <w:r>
        <w:rPr>
          <w:rFonts w:ascii="Arial" w:hAnsi="Arial" w:cs="Arial"/>
        </w:rPr>
        <w:t xml:space="preserve">, </w:t>
      </w:r>
      <w:r>
        <w:rPr>
          <w:rFonts w:ascii="Arial" w:hAnsi="Arial" w:cs="Arial"/>
          <w:b/>
          <w:bCs/>
        </w:rPr>
        <w:t>57</w:t>
      </w:r>
      <w:r>
        <w:rPr>
          <w:rFonts w:ascii="Arial" w:hAnsi="Arial" w:cs="Arial"/>
        </w:rPr>
        <w:t>, 6, 1445-1459.</w:t>
      </w:r>
    </w:p>
    <w:p w:rsidR="001C0D62" w:rsidRDefault="001C0D62">
      <w:pPr>
        <w:rPr>
          <w:rFonts w:ascii="Arial" w:hAnsi="Arial" w:cs="Arial"/>
        </w:rPr>
      </w:pPr>
    </w:p>
    <w:p w:rsidR="001C0D62" w:rsidRDefault="001C0D62">
      <w:pPr>
        <w:jc w:val="center"/>
        <w:rPr>
          <w:rFonts w:ascii="Arial" w:hAnsi="Arial" w:cs="Arial"/>
          <w:sz w:val="32"/>
        </w:rPr>
      </w:pPr>
    </w:p>
    <w:p w:rsidR="001C0D62" w:rsidRDefault="001C0D62">
      <w:pPr>
        <w:jc w:val="center"/>
        <w:rPr>
          <w:rFonts w:ascii="Arial" w:hAnsi="Arial" w:cs="Arial"/>
          <w:b/>
          <w:bCs/>
          <w:sz w:val="32"/>
          <w:u w:val="single"/>
        </w:rPr>
      </w:pPr>
    </w:p>
    <w:p w:rsidR="001C0D62" w:rsidRDefault="001C0D62">
      <w:pPr>
        <w:jc w:val="center"/>
        <w:rPr>
          <w:rFonts w:ascii="Arial" w:hAnsi="Arial" w:cs="Arial"/>
          <w:b/>
          <w:bCs/>
          <w:sz w:val="32"/>
          <w:u w:val="single"/>
        </w:rPr>
      </w:pPr>
    </w:p>
    <w:p w:rsidR="001C0D62" w:rsidRDefault="001C0D62">
      <w:pPr>
        <w:jc w:val="center"/>
        <w:rPr>
          <w:rFonts w:ascii="Arial" w:hAnsi="Arial" w:cs="Arial"/>
          <w:b/>
          <w:bCs/>
          <w:sz w:val="32"/>
          <w:u w:val="single"/>
        </w:rPr>
      </w:pPr>
    </w:p>
    <w:p w:rsidR="001C0D62" w:rsidRDefault="001C0D62">
      <w:pPr>
        <w:jc w:val="center"/>
        <w:rPr>
          <w:rFonts w:ascii="Arial" w:hAnsi="Arial" w:cs="Arial"/>
          <w:b/>
          <w:bCs/>
          <w:sz w:val="32"/>
          <w:u w:val="single"/>
        </w:rPr>
      </w:pPr>
    </w:p>
    <w:p w:rsidR="001C0D62" w:rsidRDefault="001C0D62">
      <w:pPr>
        <w:jc w:val="center"/>
        <w:rPr>
          <w:rFonts w:ascii="Arial" w:hAnsi="Arial" w:cs="Arial"/>
          <w:b/>
          <w:bCs/>
          <w:sz w:val="32"/>
          <w:u w:val="single"/>
        </w:rPr>
      </w:pPr>
    </w:p>
    <w:p w:rsidR="001C0D62" w:rsidRDefault="001C0D62">
      <w:pPr>
        <w:jc w:val="center"/>
        <w:rPr>
          <w:rFonts w:ascii="Arial" w:hAnsi="Arial" w:cs="Arial"/>
          <w:b/>
          <w:bCs/>
          <w:sz w:val="32"/>
          <w:u w:val="single"/>
        </w:rPr>
      </w:pPr>
    </w:p>
    <w:p w:rsidR="001C0D62" w:rsidRDefault="001C0D62">
      <w:pPr>
        <w:jc w:val="center"/>
        <w:rPr>
          <w:rFonts w:ascii="Arial" w:hAnsi="Arial" w:cs="Arial"/>
          <w:b/>
          <w:bCs/>
          <w:sz w:val="32"/>
          <w:u w:val="single"/>
        </w:rPr>
      </w:pPr>
    </w:p>
    <w:p w:rsidR="001C0D62" w:rsidRDefault="001C0D62">
      <w:pPr>
        <w:jc w:val="center"/>
        <w:rPr>
          <w:rFonts w:ascii="Arial" w:hAnsi="Arial" w:cs="Arial"/>
          <w:b/>
          <w:bCs/>
          <w:sz w:val="32"/>
          <w:u w:val="single"/>
        </w:rPr>
      </w:pPr>
    </w:p>
    <w:p w:rsidR="001C0D62" w:rsidRDefault="001C0D62">
      <w:pPr>
        <w:jc w:val="center"/>
        <w:rPr>
          <w:rFonts w:ascii="Arial" w:hAnsi="Arial" w:cs="Arial"/>
          <w:b/>
          <w:bCs/>
          <w:sz w:val="32"/>
          <w:u w:val="single"/>
        </w:rPr>
      </w:pPr>
    </w:p>
    <w:p w:rsidR="001C0D62" w:rsidRDefault="001C0D62">
      <w:pPr>
        <w:rPr>
          <w:rFonts w:ascii="Arial" w:hAnsi="Arial" w:cs="Arial"/>
          <w:b/>
          <w:bCs/>
          <w:sz w:val="32"/>
          <w:u w:val="single"/>
        </w:rPr>
      </w:pPr>
    </w:p>
    <w:p w:rsidR="001C0D62" w:rsidRDefault="001C0D62">
      <w:pPr>
        <w:rPr>
          <w:rFonts w:ascii="Arial" w:hAnsi="Arial" w:cs="Arial"/>
          <w:b/>
          <w:bCs/>
          <w:sz w:val="32"/>
          <w:u w:val="single"/>
        </w:rPr>
        <w:sectPr w:rsidR="001C0D62">
          <w:pgSz w:w="12240" w:h="15840"/>
          <w:pgMar w:top="1440" w:right="1800" w:bottom="1440" w:left="1800" w:header="720" w:footer="720" w:gutter="0"/>
          <w:pgNumType w:start="1"/>
          <w:cols w:space="720"/>
          <w:docGrid w:linePitch="360"/>
        </w:sectPr>
      </w:pPr>
    </w:p>
    <w:p w:rsidR="001C0D62" w:rsidRDefault="001C0D62">
      <w:pPr>
        <w:pStyle w:val="Heading2"/>
      </w:pPr>
      <w:r>
        <w:t>Appendix A</w:t>
      </w:r>
    </w:p>
    <w:p w:rsidR="001C0D62" w:rsidRDefault="001C0D62">
      <w:pPr>
        <w:jc w:val="center"/>
        <w:rPr>
          <w:rFonts w:ascii="Arial" w:hAnsi="Arial" w:cs="Arial"/>
          <w:b/>
          <w:bCs/>
          <w:sz w:val="32"/>
          <w:u w:val="single"/>
        </w:rPr>
      </w:pPr>
    </w:p>
    <w:p w:rsidR="001C0D62" w:rsidRDefault="001C0D62">
      <w:pPr>
        <w:pStyle w:val="Heading2"/>
        <w:rPr>
          <w:sz w:val="26"/>
        </w:rPr>
      </w:pPr>
      <w:r>
        <w:rPr>
          <w:sz w:val="26"/>
        </w:rPr>
        <w:t>Health &amp; Safety and Ethics forms</w:t>
      </w:r>
    </w:p>
    <w:p w:rsidR="001C0D62" w:rsidRDefault="001C0D62"/>
    <w:tbl>
      <w:tblPr>
        <w:tblW w:w="0" w:type="auto"/>
        <w:tblCellSpacing w:w="0" w:type="dxa"/>
        <w:tblCellMar>
          <w:left w:w="0" w:type="dxa"/>
          <w:right w:w="0" w:type="dxa"/>
        </w:tblCellMar>
        <w:tblLook w:val="0000" w:firstRow="0" w:lastRow="0" w:firstColumn="0" w:lastColumn="0" w:noHBand="0" w:noVBand="0"/>
      </w:tblPr>
      <w:tblGrid>
        <w:gridCol w:w="1632"/>
        <w:gridCol w:w="1110"/>
        <w:gridCol w:w="255"/>
        <w:gridCol w:w="1141"/>
        <w:gridCol w:w="322"/>
        <w:gridCol w:w="985"/>
        <w:gridCol w:w="270"/>
        <w:gridCol w:w="668"/>
        <w:gridCol w:w="290"/>
        <w:gridCol w:w="287"/>
        <w:gridCol w:w="1377"/>
        <w:gridCol w:w="303"/>
      </w:tblGrid>
      <w:tr w:rsidR="001C0D62">
        <w:trPr>
          <w:tblCellSpacing w:w="0" w:type="dxa"/>
        </w:trPr>
        <w:tc>
          <w:tcPr>
            <w:tcW w:w="1858" w:type="dxa"/>
            <w:vAlign w:val="center"/>
          </w:tcPr>
          <w:p w:rsidR="001C0D62" w:rsidRDefault="001C0D62">
            <w:pPr>
              <w:rPr>
                <w:rFonts w:ascii="Arial" w:hAnsi="Arial" w:cs="Arial"/>
                <w:sz w:val="21"/>
                <w:szCs w:val="21"/>
              </w:rPr>
            </w:pPr>
            <w:r>
              <w:rPr>
                <w:rFonts w:ascii="Arial" w:hAnsi="Arial" w:cs="Arial"/>
                <w:sz w:val="21"/>
                <w:szCs w:val="21"/>
              </w:rPr>
              <w:t>1 Project synopsis</w:t>
            </w:r>
          </w:p>
        </w:tc>
        <w:tc>
          <w:tcPr>
            <w:tcW w:w="2770" w:type="dxa"/>
            <w:gridSpan w:val="3"/>
            <w:vAlign w:val="center"/>
          </w:tcPr>
          <w:p w:rsidR="001C0D62" w:rsidRDefault="001C0D62">
            <w:pPr>
              <w:rPr>
                <w:rFonts w:ascii="Arial" w:hAnsi="Arial" w:cs="Arial"/>
                <w:sz w:val="21"/>
                <w:szCs w:val="21"/>
              </w:rPr>
            </w:pPr>
          </w:p>
        </w:tc>
        <w:tc>
          <w:tcPr>
            <w:tcW w:w="2572" w:type="dxa"/>
            <w:gridSpan w:val="4"/>
            <w:vAlign w:val="center"/>
          </w:tcPr>
          <w:p w:rsidR="001C0D62" w:rsidRDefault="001C0D62">
            <w:pPr>
              <w:rPr>
                <w:rFonts w:ascii="Arial" w:hAnsi="Arial" w:cs="Arial"/>
                <w:sz w:val="21"/>
                <w:szCs w:val="21"/>
              </w:rPr>
            </w:pPr>
            <w:r>
              <w:rPr>
                <w:rFonts w:ascii="Arial" w:hAnsi="Arial" w:cs="Arial"/>
                <w:sz w:val="21"/>
                <w:szCs w:val="21"/>
              </w:rPr>
              <w:t>Approver:</w:t>
            </w:r>
          </w:p>
        </w:tc>
        <w:tc>
          <w:tcPr>
            <w:tcW w:w="2552" w:type="dxa"/>
            <w:gridSpan w:val="4"/>
            <w:vAlign w:val="center"/>
          </w:tcPr>
          <w:p w:rsidR="001C0D62" w:rsidRDefault="001C0D62">
            <w:pPr>
              <w:rPr>
                <w:rFonts w:ascii="Arial" w:hAnsi="Arial" w:cs="Arial"/>
                <w:sz w:val="21"/>
                <w:szCs w:val="21"/>
              </w:rPr>
            </w:pPr>
            <w:r>
              <w:rPr>
                <w:rFonts w:ascii="Arial" w:hAnsi="Arial" w:cs="Arial"/>
                <w:sz w:val="21"/>
                <w:szCs w:val="21"/>
              </w:rPr>
              <w:t>Cmte number:</w:t>
            </w:r>
          </w:p>
        </w:tc>
      </w:tr>
      <w:tr w:rsidR="001C0D62">
        <w:trPr>
          <w:tblCellSpacing w:w="0" w:type="dxa"/>
        </w:trPr>
        <w:tc>
          <w:tcPr>
            <w:tcW w:w="1858" w:type="dxa"/>
            <w:vAlign w:val="center"/>
          </w:tcPr>
          <w:p w:rsidR="001C0D62" w:rsidRDefault="001C0D62">
            <w:pPr>
              <w:rPr>
                <w:rFonts w:ascii="Arial" w:hAnsi="Arial" w:cs="Arial"/>
                <w:sz w:val="21"/>
                <w:szCs w:val="21"/>
              </w:rPr>
            </w:pPr>
            <w:r>
              <w:rPr>
                <w:rFonts w:ascii="Arial" w:hAnsi="Arial" w:cs="Arial"/>
                <w:sz w:val="21"/>
                <w:szCs w:val="21"/>
              </w:rPr>
              <w:t xml:space="preserve">1.1 Title </w:t>
            </w:r>
          </w:p>
        </w:tc>
        <w:tc>
          <w:tcPr>
            <w:tcW w:w="7894" w:type="dxa"/>
            <w:gridSpan w:val="11"/>
            <w:tcBorders>
              <w:top w:val="single" w:sz="4" w:space="0" w:color="auto"/>
              <w:left w:val="single" w:sz="4" w:space="0" w:color="auto"/>
              <w:bottom w:val="single" w:sz="4" w:space="0" w:color="auto"/>
              <w:right w:val="single" w:sz="4" w:space="0" w:color="auto"/>
            </w:tcBorders>
            <w:vAlign w:val="center"/>
          </w:tcPr>
          <w:p w:rsidR="001C0D62" w:rsidRDefault="001C0D62">
            <w:pPr>
              <w:tabs>
                <w:tab w:val="left" w:pos="720"/>
                <w:tab w:val="left" w:pos="5760"/>
              </w:tabs>
              <w:jc w:val="both"/>
              <w:rPr>
                <w:rFonts w:ascii="Arial" w:hAnsi="Arial" w:cs="Arial"/>
                <w:sz w:val="21"/>
                <w:szCs w:val="21"/>
              </w:rPr>
            </w:pPr>
            <w:r>
              <w:rPr>
                <w:rFonts w:ascii="Arial" w:hAnsi="Arial" w:cs="Arial"/>
                <w:sz w:val="21"/>
                <w:szCs w:val="21"/>
              </w:rPr>
              <w:t>To examine how the radial growth patterns of various species of trees may vary after being exposed to the same climatic conditions: A Priestley Clough case study.</w:t>
            </w:r>
          </w:p>
        </w:tc>
      </w:tr>
      <w:tr w:rsidR="001C0D62">
        <w:trPr>
          <w:tblCellSpacing w:w="0" w:type="dxa"/>
        </w:trPr>
        <w:tc>
          <w:tcPr>
            <w:tcW w:w="1858" w:type="dxa"/>
            <w:vAlign w:val="center"/>
          </w:tcPr>
          <w:p w:rsidR="001C0D62" w:rsidRDefault="001C0D62">
            <w:pPr>
              <w:rPr>
                <w:rFonts w:ascii="Arial" w:hAnsi="Arial" w:cs="Arial"/>
                <w:sz w:val="21"/>
                <w:szCs w:val="21"/>
              </w:rPr>
            </w:pPr>
            <w:r>
              <w:rPr>
                <w:rFonts w:ascii="Arial" w:hAnsi="Arial" w:cs="Arial"/>
                <w:sz w:val="21"/>
                <w:szCs w:val="21"/>
              </w:rPr>
              <w:t>1.2 Project type</w:t>
            </w:r>
          </w:p>
        </w:tc>
        <w:tc>
          <w:tcPr>
            <w:tcW w:w="1209" w:type="dxa"/>
            <w:tcBorders>
              <w:top w:val="single" w:sz="4" w:space="0" w:color="auto"/>
              <w:left w:val="single" w:sz="4" w:space="0" w:color="auto"/>
              <w:bottom w:val="single" w:sz="4" w:space="0" w:color="auto"/>
              <w:right w:val="single" w:sz="4" w:space="0" w:color="auto"/>
            </w:tcBorders>
            <w:vAlign w:val="center"/>
          </w:tcPr>
          <w:p w:rsidR="001C0D62" w:rsidRDefault="001C0D62">
            <w:pPr>
              <w:rPr>
                <w:rFonts w:ascii="Arial" w:hAnsi="Arial" w:cs="Arial"/>
                <w:sz w:val="21"/>
                <w:szCs w:val="21"/>
              </w:rPr>
            </w:pPr>
            <w:r>
              <w:rPr>
                <w:rFonts w:ascii="Arial" w:hAnsi="Arial" w:cs="Arial"/>
                <w:sz w:val="21"/>
                <w:szCs w:val="21"/>
              </w:rPr>
              <w:t>Original research</w:t>
            </w:r>
          </w:p>
        </w:tc>
        <w:tc>
          <w:tcPr>
            <w:tcW w:w="339" w:type="dxa"/>
            <w:tcBorders>
              <w:top w:val="single" w:sz="4" w:space="0" w:color="auto"/>
              <w:left w:val="single" w:sz="4" w:space="0" w:color="auto"/>
              <w:bottom w:val="single" w:sz="4" w:space="0" w:color="auto"/>
              <w:right w:val="single" w:sz="4" w:space="0" w:color="auto"/>
            </w:tcBorders>
            <w:vAlign w:val="center"/>
          </w:tcPr>
          <w:p w:rsidR="001C0D62" w:rsidRDefault="001C0D62">
            <w:pPr>
              <w:rPr>
                <w:rFonts w:ascii="Arial" w:hAnsi="Arial" w:cs="Arial"/>
                <w:sz w:val="21"/>
                <w:szCs w:val="21"/>
              </w:rPr>
            </w:pPr>
            <w:r>
              <w:rPr>
                <w:rFonts w:ascii="Arial" w:hAnsi="Arial" w:cs="Arial"/>
                <w:sz w:val="21"/>
                <w:szCs w:val="21"/>
              </w:rPr>
              <w:t xml:space="preserve">  </w:t>
            </w:r>
          </w:p>
        </w:tc>
        <w:tc>
          <w:tcPr>
            <w:tcW w:w="1222" w:type="dxa"/>
            <w:tcBorders>
              <w:top w:val="single" w:sz="4" w:space="0" w:color="auto"/>
              <w:left w:val="single" w:sz="4" w:space="0" w:color="auto"/>
              <w:bottom w:val="single" w:sz="4" w:space="0" w:color="auto"/>
              <w:right w:val="single" w:sz="4" w:space="0" w:color="auto"/>
            </w:tcBorders>
            <w:vAlign w:val="center"/>
          </w:tcPr>
          <w:p w:rsidR="001C0D62" w:rsidRDefault="001C0D62">
            <w:pPr>
              <w:rPr>
                <w:rFonts w:ascii="Arial" w:hAnsi="Arial" w:cs="Arial"/>
                <w:sz w:val="21"/>
                <w:szCs w:val="21"/>
              </w:rPr>
            </w:pPr>
            <w:r>
              <w:rPr>
                <w:rFonts w:ascii="Arial" w:hAnsi="Arial" w:cs="Arial"/>
                <w:sz w:val="21"/>
                <w:szCs w:val="21"/>
              </w:rPr>
              <w:t>Research degree</w:t>
            </w:r>
          </w:p>
        </w:tc>
        <w:tc>
          <w:tcPr>
            <w:tcW w:w="412" w:type="dxa"/>
            <w:tcBorders>
              <w:top w:val="single" w:sz="4" w:space="0" w:color="auto"/>
              <w:left w:val="single" w:sz="4" w:space="0" w:color="auto"/>
              <w:bottom w:val="single" w:sz="4" w:space="0" w:color="auto"/>
              <w:right w:val="single" w:sz="4" w:space="0" w:color="auto"/>
            </w:tcBorders>
            <w:vAlign w:val="center"/>
          </w:tcPr>
          <w:p w:rsidR="001C0D62" w:rsidRDefault="001C0D62">
            <w:pPr>
              <w:rPr>
                <w:rFonts w:ascii="Arial" w:hAnsi="Arial" w:cs="Arial"/>
                <w:sz w:val="21"/>
                <w:szCs w:val="21"/>
              </w:rPr>
            </w:pPr>
          </w:p>
        </w:tc>
        <w:tc>
          <w:tcPr>
            <w:tcW w:w="1077" w:type="dxa"/>
            <w:tcBorders>
              <w:top w:val="single" w:sz="4" w:space="0" w:color="auto"/>
              <w:left w:val="single" w:sz="4" w:space="0" w:color="auto"/>
              <w:bottom w:val="single" w:sz="4" w:space="0" w:color="auto"/>
              <w:right w:val="single" w:sz="4" w:space="0" w:color="auto"/>
            </w:tcBorders>
            <w:vAlign w:val="center"/>
          </w:tcPr>
          <w:p w:rsidR="001C0D62" w:rsidRDefault="001C0D62">
            <w:pPr>
              <w:rPr>
                <w:rFonts w:ascii="Arial" w:hAnsi="Arial" w:cs="Arial"/>
                <w:sz w:val="21"/>
                <w:szCs w:val="21"/>
              </w:rPr>
            </w:pPr>
            <w:r>
              <w:rPr>
                <w:rFonts w:ascii="Arial" w:hAnsi="Arial" w:cs="Arial"/>
                <w:sz w:val="21"/>
                <w:szCs w:val="21"/>
              </w:rPr>
              <w:t>PG taught</w:t>
            </w:r>
          </w:p>
        </w:tc>
        <w:tc>
          <w:tcPr>
            <w:tcW w:w="348" w:type="dxa"/>
            <w:tcBorders>
              <w:top w:val="single" w:sz="4" w:space="0" w:color="auto"/>
              <w:left w:val="single" w:sz="4" w:space="0" w:color="auto"/>
              <w:bottom w:val="single" w:sz="4" w:space="0" w:color="auto"/>
              <w:right w:val="single" w:sz="4" w:space="0" w:color="auto"/>
            </w:tcBorders>
            <w:vAlign w:val="center"/>
          </w:tcPr>
          <w:p w:rsidR="001C0D62" w:rsidRDefault="001C0D62">
            <w:pPr>
              <w:rPr>
                <w:rFonts w:ascii="Arial" w:hAnsi="Arial" w:cs="Arial"/>
                <w:sz w:val="21"/>
                <w:szCs w:val="21"/>
              </w:rPr>
            </w:pPr>
          </w:p>
        </w:tc>
        <w:tc>
          <w:tcPr>
            <w:tcW w:w="1087" w:type="dxa"/>
            <w:gridSpan w:val="2"/>
            <w:tcBorders>
              <w:top w:val="single" w:sz="4" w:space="0" w:color="auto"/>
              <w:left w:val="single" w:sz="4" w:space="0" w:color="auto"/>
              <w:bottom w:val="single" w:sz="4" w:space="0" w:color="auto"/>
              <w:right w:val="single" w:sz="4" w:space="0" w:color="auto"/>
            </w:tcBorders>
            <w:vAlign w:val="center"/>
          </w:tcPr>
          <w:p w:rsidR="001C0D62" w:rsidRDefault="001C0D62">
            <w:pPr>
              <w:rPr>
                <w:rFonts w:ascii="Arial" w:hAnsi="Arial" w:cs="Arial"/>
                <w:sz w:val="21"/>
                <w:szCs w:val="21"/>
              </w:rPr>
            </w:pPr>
            <w:r>
              <w:rPr>
                <w:rFonts w:ascii="Arial" w:hAnsi="Arial" w:cs="Arial"/>
                <w:sz w:val="21"/>
                <w:szCs w:val="21"/>
              </w:rPr>
              <w:t>UG taught</w:t>
            </w:r>
          </w:p>
        </w:tc>
        <w:tc>
          <w:tcPr>
            <w:tcW w:w="333" w:type="dxa"/>
            <w:tcBorders>
              <w:top w:val="single" w:sz="4" w:space="0" w:color="auto"/>
              <w:left w:val="single" w:sz="4" w:space="0" w:color="auto"/>
              <w:bottom w:val="single" w:sz="4" w:space="0" w:color="auto"/>
              <w:right w:val="single" w:sz="4" w:space="0" w:color="auto"/>
            </w:tcBorders>
            <w:vAlign w:val="center"/>
          </w:tcPr>
          <w:p w:rsidR="001C0D62" w:rsidRDefault="001C0D62">
            <w:pPr>
              <w:rPr>
                <w:rFonts w:ascii="Arial" w:hAnsi="Arial" w:cs="Arial"/>
                <w:sz w:val="21"/>
                <w:szCs w:val="21"/>
              </w:rPr>
            </w:pPr>
            <w:r>
              <w:rPr>
                <w:rFonts w:ascii="Arial" w:hAnsi="Arial" w:cs="Arial"/>
                <w:sz w:val="21"/>
                <w:szCs w:val="21"/>
              </w:rPr>
              <w:t xml:space="preserve">  X</w:t>
            </w:r>
          </w:p>
        </w:tc>
        <w:tc>
          <w:tcPr>
            <w:tcW w:w="1463" w:type="dxa"/>
            <w:tcBorders>
              <w:top w:val="single" w:sz="4" w:space="0" w:color="auto"/>
              <w:left w:val="single" w:sz="4" w:space="0" w:color="auto"/>
              <w:bottom w:val="single" w:sz="4" w:space="0" w:color="auto"/>
              <w:right w:val="single" w:sz="4" w:space="0" w:color="auto"/>
            </w:tcBorders>
            <w:vAlign w:val="center"/>
          </w:tcPr>
          <w:p w:rsidR="001C0D62" w:rsidRDefault="001C0D62">
            <w:pPr>
              <w:rPr>
                <w:rFonts w:ascii="Arial" w:hAnsi="Arial" w:cs="Arial"/>
                <w:sz w:val="21"/>
                <w:szCs w:val="21"/>
              </w:rPr>
            </w:pPr>
            <w:r>
              <w:rPr>
                <w:rFonts w:ascii="Arial" w:hAnsi="Arial" w:cs="Arial"/>
                <w:sz w:val="21"/>
                <w:szCs w:val="21"/>
              </w:rPr>
              <w:t>Commercial</w:t>
            </w:r>
          </w:p>
        </w:tc>
        <w:tc>
          <w:tcPr>
            <w:tcW w:w="404" w:type="dxa"/>
            <w:tcBorders>
              <w:top w:val="single" w:sz="4" w:space="0" w:color="auto"/>
              <w:left w:val="single" w:sz="4" w:space="0" w:color="auto"/>
              <w:bottom w:val="single" w:sz="4" w:space="0" w:color="auto"/>
              <w:right w:val="single" w:sz="4" w:space="0" w:color="auto"/>
            </w:tcBorders>
            <w:vAlign w:val="center"/>
          </w:tcPr>
          <w:p w:rsidR="001C0D62" w:rsidRDefault="001C0D62">
            <w:pPr>
              <w:rPr>
                <w:rFonts w:ascii="Arial" w:hAnsi="Arial" w:cs="Arial"/>
                <w:sz w:val="21"/>
                <w:szCs w:val="21"/>
              </w:rPr>
            </w:pPr>
          </w:p>
        </w:tc>
      </w:tr>
      <w:tr w:rsidR="001C0D62">
        <w:trPr>
          <w:tblCellSpacing w:w="0" w:type="dxa"/>
        </w:trPr>
        <w:tc>
          <w:tcPr>
            <w:tcW w:w="1858" w:type="dxa"/>
            <w:vAlign w:val="center"/>
          </w:tcPr>
          <w:p w:rsidR="001C0D62" w:rsidRDefault="001C0D62">
            <w:pPr>
              <w:rPr>
                <w:rFonts w:ascii="Arial" w:hAnsi="Arial" w:cs="Arial"/>
                <w:sz w:val="21"/>
                <w:szCs w:val="21"/>
              </w:rPr>
            </w:pPr>
            <w:r>
              <w:rPr>
                <w:rFonts w:ascii="Arial" w:hAnsi="Arial" w:cs="Arial"/>
                <w:sz w:val="21"/>
                <w:szCs w:val="21"/>
              </w:rPr>
              <w:t xml:space="preserve">1.3 Short description </w:t>
            </w:r>
            <w:r>
              <w:rPr>
                <w:rFonts w:ascii="Arial" w:hAnsi="Arial" w:cs="Arial"/>
                <w:sz w:val="21"/>
                <w:szCs w:val="21"/>
              </w:rPr>
              <w:br/>
              <w:t>in layman's terms [no acronyms or jargon]</w:t>
            </w:r>
          </w:p>
          <w:p w:rsidR="001C0D62" w:rsidRDefault="001C0D62">
            <w:pPr>
              <w:rPr>
                <w:rFonts w:ascii="Arial" w:hAnsi="Arial" w:cs="Arial"/>
                <w:sz w:val="21"/>
                <w:szCs w:val="21"/>
              </w:rPr>
            </w:pPr>
          </w:p>
        </w:tc>
        <w:tc>
          <w:tcPr>
            <w:tcW w:w="7894" w:type="dxa"/>
            <w:gridSpan w:val="11"/>
            <w:tcBorders>
              <w:top w:val="single" w:sz="4" w:space="0" w:color="auto"/>
              <w:left w:val="single" w:sz="4" w:space="0" w:color="auto"/>
              <w:bottom w:val="single" w:sz="4" w:space="0" w:color="auto"/>
              <w:right w:val="single" w:sz="4" w:space="0" w:color="auto"/>
            </w:tcBorders>
            <w:vAlign w:val="center"/>
          </w:tcPr>
          <w:p w:rsidR="001C0D62" w:rsidRDefault="001C0D62">
            <w:pPr>
              <w:rPr>
                <w:rFonts w:ascii="Arial" w:hAnsi="Arial" w:cs="Arial"/>
                <w:sz w:val="21"/>
                <w:szCs w:val="21"/>
              </w:rPr>
            </w:pPr>
            <w:r>
              <w:rPr>
                <w:rFonts w:ascii="Arial" w:hAnsi="Arial" w:cs="Arial"/>
                <w:sz w:val="21"/>
                <w:szCs w:val="21"/>
              </w:rPr>
              <w:t xml:space="preserve">This undergraduate dissertation project aims to investigate the effect climate has on tree growth in </w:t>
            </w:r>
            <w:smartTag w:uri="urn:schemas-microsoft-com:office:smarttags" w:element="place">
              <w:r>
                <w:rPr>
                  <w:rFonts w:ascii="Arial" w:hAnsi="Arial" w:cs="Arial"/>
                  <w:sz w:val="21"/>
                  <w:szCs w:val="21"/>
                </w:rPr>
                <w:t>Lancashire</w:t>
              </w:r>
            </w:smartTag>
            <w:r>
              <w:rPr>
                <w:rFonts w:ascii="Arial" w:hAnsi="Arial" w:cs="Arial"/>
                <w:sz w:val="21"/>
                <w:szCs w:val="21"/>
              </w:rPr>
              <w:t xml:space="preserve"> by undertaking quantitative research. Tree cores will be sampled, with the tree-rings being examined based on their widths. Comparisons and relationships will be undertaken in order to see what effect the climate has on various species of tree.</w:t>
            </w:r>
          </w:p>
        </w:tc>
      </w:tr>
      <w:tr w:rsidR="001C0D62">
        <w:trPr>
          <w:tblCellSpacing w:w="0" w:type="dxa"/>
        </w:trPr>
        <w:tc>
          <w:tcPr>
            <w:tcW w:w="1858" w:type="dxa"/>
            <w:vAlign w:val="center"/>
          </w:tcPr>
          <w:p w:rsidR="001C0D62" w:rsidRDefault="001C0D62">
            <w:pPr>
              <w:rPr>
                <w:rFonts w:ascii="Arial" w:hAnsi="Arial" w:cs="Arial"/>
                <w:sz w:val="21"/>
                <w:szCs w:val="21"/>
              </w:rPr>
            </w:pPr>
            <w:r>
              <w:rPr>
                <w:rFonts w:ascii="Arial" w:hAnsi="Arial" w:cs="Arial"/>
                <w:sz w:val="21"/>
                <w:szCs w:val="21"/>
              </w:rPr>
              <w:t xml:space="preserve">1.4 Dates </w:t>
            </w:r>
          </w:p>
        </w:tc>
        <w:tc>
          <w:tcPr>
            <w:tcW w:w="2770" w:type="dxa"/>
            <w:gridSpan w:val="3"/>
            <w:tcBorders>
              <w:top w:val="single" w:sz="4" w:space="0" w:color="auto"/>
              <w:left w:val="single" w:sz="4" w:space="0" w:color="auto"/>
              <w:bottom w:val="single" w:sz="4" w:space="0" w:color="auto"/>
              <w:right w:val="single" w:sz="4" w:space="0" w:color="auto"/>
            </w:tcBorders>
            <w:vAlign w:val="center"/>
          </w:tcPr>
          <w:p w:rsidR="001C0D62" w:rsidRDefault="001C0D62">
            <w:pPr>
              <w:rPr>
                <w:rFonts w:ascii="Arial" w:hAnsi="Arial" w:cs="Arial"/>
                <w:sz w:val="21"/>
                <w:szCs w:val="21"/>
              </w:rPr>
            </w:pPr>
            <w:r>
              <w:rPr>
                <w:rFonts w:ascii="Arial" w:hAnsi="Arial" w:cs="Arial"/>
                <w:sz w:val="21"/>
                <w:szCs w:val="21"/>
              </w:rPr>
              <w:t>Start: May 2012</w:t>
            </w:r>
          </w:p>
        </w:tc>
        <w:tc>
          <w:tcPr>
            <w:tcW w:w="5124" w:type="dxa"/>
            <w:gridSpan w:val="8"/>
            <w:tcBorders>
              <w:top w:val="single" w:sz="4" w:space="0" w:color="auto"/>
              <w:left w:val="single" w:sz="4" w:space="0" w:color="auto"/>
              <w:bottom w:val="single" w:sz="4" w:space="0" w:color="auto"/>
              <w:right w:val="single" w:sz="4" w:space="0" w:color="auto"/>
            </w:tcBorders>
            <w:vAlign w:val="center"/>
          </w:tcPr>
          <w:p w:rsidR="001C0D62" w:rsidRDefault="001C0D62">
            <w:pPr>
              <w:rPr>
                <w:rFonts w:ascii="Arial" w:hAnsi="Arial" w:cs="Arial"/>
                <w:sz w:val="21"/>
                <w:szCs w:val="21"/>
              </w:rPr>
            </w:pPr>
            <w:r>
              <w:rPr>
                <w:rFonts w:ascii="Arial" w:hAnsi="Arial" w:cs="Arial"/>
                <w:sz w:val="21"/>
                <w:szCs w:val="21"/>
              </w:rPr>
              <w:t>End: April 2013</w:t>
            </w:r>
          </w:p>
        </w:tc>
      </w:tr>
      <w:tr w:rsidR="001C0D62">
        <w:trPr>
          <w:tblCellSpacing w:w="0" w:type="dxa"/>
        </w:trPr>
        <w:tc>
          <w:tcPr>
            <w:tcW w:w="1858" w:type="dxa"/>
            <w:vAlign w:val="center"/>
          </w:tcPr>
          <w:p w:rsidR="001C0D62" w:rsidRDefault="001C0D62">
            <w:pPr>
              <w:rPr>
                <w:rFonts w:ascii="Arial" w:hAnsi="Arial" w:cs="Arial"/>
                <w:sz w:val="21"/>
                <w:szCs w:val="21"/>
              </w:rPr>
            </w:pPr>
            <w:r>
              <w:rPr>
                <w:rFonts w:ascii="Arial" w:hAnsi="Arial" w:cs="Arial"/>
                <w:sz w:val="21"/>
                <w:szCs w:val="21"/>
              </w:rPr>
              <w:t>1.5 School of …..</w:t>
            </w:r>
          </w:p>
        </w:tc>
        <w:tc>
          <w:tcPr>
            <w:tcW w:w="7894" w:type="dxa"/>
            <w:gridSpan w:val="11"/>
            <w:tcBorders>
              <w:top w:val="single" w:sz="4" w:space="0" w:color="auto"/>
              <w:left w:val="single" w:sz="4" w:space="0" w:color="auto"/>
              <w:bottom w:val="single" w:sz="4" w:space="0" w:color="auto"/>
              <w:right w:val="single" w:sz="4" w:space="0" w:color="auto"/>
            </w:tcBorders>
            <w:vAlign w:val="center"/>
          </w:tcPr>
          <w:p w:rsidR="001C0D62" w:rsidRDefault="001C0D62">
            <w:pPr>
              <w:rPr>
                <w:rFonts w:ascii="Arial" w:hAnsi="Arial" w:cs="Arial"/>
                <w:sz w:val="21"/>
                <w:szCs w:val="21"/>
              </w:rPr>
            </w:pPr>
            <w:r>
              <w:rPr>
                <w:rFonts w:ascii="Arial" w:hAnsi="Arial" w:cs="Arial"/>
                <w:sz w:val="21"/>
                <w:szCs w:val="21"/>
              </w:rPr>
              <w:t>Built and Natural Environment</w:t>
            </w:r>
          </w:p>
        </w:tc>
      </w:tr>
    </w:tbl>
    <w:p w:rsidR="001C0D62" w:rsidRDefault="001C0D62">
      <w:pPr>
        <w:rPr>
          <w:rFonts w:ascii="Arial" w:hAnsi="Arial" w:cs="Arial"/>
          <w:sz w:val="21"/>
          <w:szCs w:val="21"/>
        </w:rPr>
      </w:pPr>
    </w:p>
    <w:p w:rsidR="001C0D62" w:rsidRDefault="001C0D62">
      <w:pPr>
        <w:rPr>
          <w:rFonts w:ascii="Arial" w:hAnsi="Arial" w:cs="Arial"/>
          <w:sz w:val="21"/>
          <w:szCs w:val="21"/>
        </w:rPr>
      </w:pPr>
      <w:r>
        <w:rPr>
          <w:rFonts w:ascii="Arial" w:hAnsi="Arial" w:cs="Arial"/>
          <w:sz w:val="21"/>
          <w:szCs w:val="21"/>
        </w:rPr>
        <w:t>2 Participants</w:t>
      </w:r>
    </w:p>
    <w:tbl>
      <w:tblPr>
        <w:tblW w:w="0" w:type="auto"/>
        <w:tblCellSpacing w:w="0" w:type="dxa"/>
        <w:tblCellMar>
          <w:left w:w="0" w:type="dxa"/>
          <w:right w:w="0" w:type="dxa"/>
        </w:tblCellMar>
        <w:tblLook w:val="0000" w:firstRow="0" w:lastRow="0" w:firstColumn="0" w:lastColumn="0" w:noHBand="0" w:noVBand="0"/>
      </w:tblPr>
      <w:tblGrid>
        <w:gridCol w:w="2160"/>
        <w:gridCol w:w="6490"/>
      </w:tblGrid>
      <w:tr w:rsidR="001C0D62">
        <w:trPr>
          <w:tblCellSpacing w:w="0" w:type="dxa"/>
        </w:trPr>
        <w:tc>
          <w:tcPr>
            <w:tcW w:w="2340" w:type="dxa"/>
            <w:vAlign w:val="center"/>
          </w:tcPr>
          <w:p w:rsidR="001C0D62" w:rsidRDefault="001C0D62">
            <w:pPr>
              <w:rPr>
                <w:rFonts w:ascii="Arial" w:hAnsi="Arial" w:cs="Arial"/>
                <w:sz w:val="21"/>
                <w:szCs w:val="21"/>
              </w:rPr>
            </w:pPr>
            <w:r>
              <w:rPr>
                <w:rFonts w:ascii="Arial" w:hAnsi="Arial" w:cs="Arial"/>
                <w:sz w:val="21"/>
                <w:szCs w:val="21"/>
              </w:rPr>
              <w:t>2.1 Project supervisor /principal investigator:</w:t>
            </w:r>
            <w:r>
              <w:rPr>
                <w:rFonts w:ascii="Arial" w:hAnsi="Arial" w:cs="Arial"/>
                <w:sz w:val="21"/>
                <w:szCs w:val="21"/>
              </w:rPr>
              <w:br/>
              <w:t>name, position</w:t>
            </w:r>
            <w:r>
              <w:rPr>
                <w:rFonts w:ascii="Arial" w:hAnsi="Arial" w:cs="Arial"/>
                <w:sz w:val="21"/>
                <w:szCs w:val="21"/>
              </w:rPr>
              <w:br/>
              <w:t xml:space="preserve">and original signature </w:t>
            </w:r>
          </w:p>
        </w:tc>
        <w:tc>
          <w:tcPr>
            <w:tcW w:w="7422" w:type="dxa"/>
            <w:tcBorders>
              <w:top w:val="single" w:sz="4" w:space="0" w:color="auto"/>
              <w:left w:val="single" w:sz="4" w:space="0" w:color="auto"/>
              <w:bottom w:val="single" w:sz="4" w:space="0" w:color="auto"/>
              <w:right w:val="single" w:sz="4" w:space="0" w:color="auto"/>
            </w:tcBorders>
            <w:vAlign w:val="center"/>
          </w:tcPr>
          <w:p w:rsidR="001C0D62" w:rsidRDefault="001C0D62">
            <w:pPr>
              <w:rPr>
                <w:rFonts w:ascii="Arial" w:hAnsi="Arial" w:cs="Arial"/>
                <w:sz w:val="21"/>
                <w:szCs w:val="21"/>
              </w:rPr>
            </w:pPr>
            <w:r>
              <w:rPr>
                <w:rFonts w:ascii="Arial" w:hAnsi="Arial" w:cs="Arial"/>
                <w:sz w:val="21"/>
                <w:szCs w:val="21"/>
              </w:rPr>
              <w:t>Project Supervisor: Yingkui Zhao</w:t>
            </w:r>
            <w:r>
              <w:rPr>
                <w:rFonts w:ascii="Arial" w:hAnsi="Arial" w:cs="Arial"/>
                <w:sz w:val="21"/>
                <w:szCs w:val="21"/>
              </w:rPr>
              <w:br/>
              <w:t>Principle Investigator: Rebecca Wild</w:t>
            </w:r>
          </w:p>
        </w:tc>
      </w:tr>
      <w:tr w:rsidR="001C0D62">
        <w:trPr>
          <w:tblCellSpacing w:w="0" w:type="dxa"/>
        </w:trPr>
        <w:tc>
          <w:tcPr>
            <w:tcW w:w="2340" w:type="dxa"/>
            <w:vAlign w:val="center"/>
          </w:tcPr>
          <w:p w:rsidR="001C0D62" w:rsidRDefault="001C0D62">
            <w:pPr>
              <w:rPr>
                <w:rFonts w:ascii="Arial" w:hAnsi="Arial" w:cs="Arial"/>
                <w:sz w:val="21"/>
                <w:szCs w:val="21"/>
              </w:rPr>
            </w:pPr>
            <w:r>
              <w:rPr>
                <w:rFonts w:ascii="Arial" w:hAnsi="Arial" w:cs="Arial"/>
                <w:sz w:val="21"/>
                <w:szCs w:val="21"/>
              </w:rPr>
              <w:t xml:space="preserve">2.2 Co-workers: </w:t>
            </w:r>
            <w:r>
              <w:rPr>
                <w:rFonts w:ascii="Arial" w:hAnsi="Arial" w:cs="Arial"/>
                <w:sz w:val="21"/>
                <w:szCs w:val="21"/>
              </w:rPr>
              <w:br/>
              <w:t xml:space="preserve">names and positions </w:t>
            </w:r>
          </w:p>
          <w:p w:rsidR="001C0D62" w:rsidRDefault="001C0D62">
            <w:pPr>
              <w:rPr>
                <w:rFonts w:ascii="Arial" w:hAnsi="Arial" w:cs="Arial"/>
                <w:sz w:val="21"/>
                <w:szCs w:val="21"/>
              </w:rPr>
            </w:pPr>
            <w:r>
              <w:rPr>
                <w:rFonts w:ascii="Arial" w:hAnsi="Arial" w:cs="Arial"/>
                <w:sz w:val="21"/>
                <w:szCs w:val="21"/>
              </w:rPr>
              <w:t>[eg student]</w:t>
            </w:r>
          </w:p>
          <w:p w:rsidR="001C0D62" w:rsidRDefault="001C0D62">
            <w:pPr>
              <w:rPr>
                <w:rFonts w:ascii="Arial" w:hAnsi="Arial" w:cs="Arial"/>
                <w:sz w:val="21"/>
                <w:szCs w:val="21"/>
              </w:rPr>
            </w:pPr>
          </w:p>
        </w:tc>
        <w:tc>
          <w:tcPr>
            <w:tcW w:w="7422" w:type="dxa"/>
            <w:tcBorders>
              <w:top w:val="single" w:sz="4" w:space="0" w:color="auto"/>
              <w:left w:val="single" w:sz="4" w:space="0" w:color="auto"/>
              <w:bottom w:val="single" w:sz="4" w:space="0" w:color="auto"/>
              <w:right w:val="single" w:sz="4" w:space="0" w:color="auto"/>
            </w:tcBorders>
            <w:vAlign w:val="center"/>
          </w:tcPr>
          <w:p w:rsidR="001C0D62" w:rsidRDefault="001C0D62">
            <w:pPr>
              <w:rPr>
                <w:rFonts w:ascii="Arial" w:hAnsi="Arial" w:cs="Arial"/>
                <w:sz w:val="21"/>
                <w:szCs w:val="21"/>
              </w:rPr>
            </w:pPr>
            <w:r>
              <w:rPr>
                <w:rFonts w:ascii="Arial" w:hAnsi="Arial" w:cs="Arial"/>
                <w:sz w:val="21"/>
                <w:szCs w:val="21"/>
              </w:rPr>
              <w:t>Christopher Heffernan: Student</w:t>
            </w:r>
          </w:p>
        </w:tc>
      </w:tr>
    </w:tbl>
    <w:p w:rsidR="001C0D62" w:rsidRDefault="001C0D62">
      <w:pPr>
        <w:rPr>
          <w:rFonts w:ascii="Arial" w:hAnsi="Arial" w:cs="Arial"/>
          <w:sz w:val="21"/>
          <w:szCs w:val="21"/>
        </w:rPr>
      </w:pPr>
    </w:p>
    <w:p w:rsidR="001C0D62" w:rsidRDefault="001C0D62">
      <w:r>
        <w:rPr>
          <w:rFonts w:ascii="Arial" w:hAnsi="Arial" w:cs="Arial"/>
          <w:sz w:val="21"/>
          <w:szCs w:val="21"/>
        </w:rPr>
        <w:t>3 External collaborators</w:t>
      </w:r>
      <w:r>
        <w:rPr>
          <w:rFonts w:ascii="Arial" w:hAnsi="Arial" w:cs="Arial"/>
          <w:sz w:val="21"/>
          <w:szCs w:val="21"/>
        </w:rPr>
        <w:br/>
        <w:t>3.1 List external collaborating bodies    N/A</w:t>
      </w:r>
      <w:r>
        <w:rPr>
          <w:rFonts w:ascii="Arial" w:hAnsi="Arial" w:cs="Arial"/>
          <w:sz w:val="21"/>
          <w:szCs w:val="21"/>
        </w:rPr>
        <w:br/>
        <w:t>3.2 Provide evidence of any ethical approvals obtained [or needed] by external collaborators</w:t>
      </w:r>
      <w:r>
        <w:rPr>
          <w:rFonts w:ascii="Arial" w:hAnsi="Arial" w:cs="Arial"/>
          <w:sz w:val="21"/>
          <w:szCs w:val="21"/>
        </w:rPr>
        <w:br/>
      </w:r>
      <w:r>
        <w:rPr>
          <w:sz w:val="21"/>
          <w:szCs w:val="21"/>
        </w:rPr>
        <w:t xml:space="preserve">     </w:t>
      </w:r>
      <w:r>
        <w:rPr>
          <w:rFonts w:ascii="Arial" w:hAnsi="Arial" w:cs="Arial"/>
          <w:sz w:val="21"/>
          <w:szCs w:val="21"/>
        </w:rPr>
        <w:t>Permission to be obtained from:</w:t>
      </w:r>
      <w:r>
        <w:rPr>
          <w:rFonts w:ascii="Arial" w:hAnsi="Arial" w:cs="Arial"/>
          <w:sz w:val="21"/>
          <w:szCs w:val="21"/>
        </w:rPr>
        <w:br/>
        <w:t xml:space="preserve">      Hyndburn Borough Council </w:t>
      </w:r>
      <w:r>
        <w:rPr>
          <w:rFonts w:ascii="Arial" w:hAnsi="Arial" w:cs="Arial"/>
          <w:sz w:val="21"/>
          <w:szCs w:val="21"/>
        </w:rPr>
        <w:br/>
        <w:t>3.3 Indicate whether confidentiality agreements have been or will be completed    N/A</w:t>
      </w:r>
      <w:r>
        <w:rPr>
          <w:rFonts w:ascii="Arial" w:hAnsi="Arial" w:cs="Arial"/>
          <w:sz w:val="22"/>
        </w:rPr>
        <w:br/>
        <w:t xml:space="preserve">     </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7215"/>
        <w:gridCol w:w="1455"/>
      </w:tblGrid>
      <w:tr w:rsidR="001C0D62">
        <w:trPr>
          <w:tblCellSpacing w:w="0" w:type="dxa"/>
        </w:trPr>
        <w:tc>
          <w:tcPr>
            <w:tcW w:w="7540" w:type="dxa"/>
            <w:tcBorders>
              <w:top w:val="outset" w:sz="6" w:space="0" w:color="auto"/>
              <w:bottom w:val="outset" w:sz="6" w:space="0" w:color="auto"/>
              <w:right w:val="outset" w:sz="6" w:space="0" w:color="auto"/>
            </w:tcBorders>
          </w:tcPr>
          <w:p w:rsidR="001C0D62" w:rsidRDefault="001C0D62">
            <w:pPr>
              <w:rPr>
                <w:rFonts w:ascii="Arial" w:hAnsi="Arial" w:cs="Arial"/>
                <w:sz w:val="20"/>
              </w:rPr>
            </w:pPr>
            <w:r>
              <w:rPr>
                <w:rFonts w:ascii="Arial" w:hAnsi="Arial" w:cs="Arial"/>
                <w:sz w:val="20"/>
              </w:rPr>
              <w:t xml:space="preserve">A) Does the activity involve </w:t>
            </w:r>
            <w:hyperlink r:id="rId70" w:history="1">
              <w:r>
                <w:rPr>
                  <w:rStyle w:val="Hyperlink"/>
                  <w:rFonts w:ascii="Arial" w:hAnsi="Arial" w:cs="Arial"/>
                  <w:color w:val="auto"/>
                  <w:sz w:val="20"/>
                </w:rPr>
                <w:t>field work</w:t>
              </w:r>
            </w:hyperlink>
            <w:r>
              <w:rPr>
                <w:rFonts w:ascii="Arial" w:hAnsi="Arial" w:cs="Arial"/>
                <w:sz w:val="20"/>
              </w:rPr>
              <w:t xml:space="preserve"> or </w:t>
            </w:r>
            <w:hyperlink r:id="rId71" w:history="1">
              <w:r>
                <w:rPr>
                  <w:rStyle w:val="Hyperlink"/>
                  <w:rFonts w:ascii="Arial" w:hAnsi="Arial" w:cs="Arial"/>
                  <w:color w:val="auto"/>
                  <w:sz w:val="20"/>
                </w:rPr>
                <w:t>travel</w:t>
              </w:r>
            </w:hyperlink>
            <w:r>
              <w:rPr>
                <w:rFonts w:ascii="Arial" w:hAnsi="Arial" w:cs="Arial"/>
                <w:sz w:val="20"/>
              </w:rPr>
              <w:t xml:space="preserve"> to unfamiliar places? If Yes:</w:t>
            </w:r>
          </w:p>
          <w:p w:rsidR="001C0D62" w:rsidRDefault="001C0D62">
            <w:pPr>
              <w:numPr>
                <w:ilvl w:val="0"/>
                <w:numId w:val="2"/>
              </w:numPr>
              <w:rPr>
                <w:rFonts w:ascii="Arial" w:hAnsi="Arial" w:cs="Arial"/>
                <w:sz w:val="20"/>
              </w:rPr>
            </w:pPr>
            <w:r>
              <w:rPr>
                <w:rFonts w:ascii="Arial" w:hAnsi="Arial" w:cs="Arial"/>
                <w:sz w:val="20"/>
              </w:rPr>
              <w:t xml:space="preserve">Does the activity involve field work or leaving the campus [eg </w:t>
            </w:r>
            <w:hyperlink r:id="rId72" w:history="1">
              <w:r>
                <w:rPr>
                  <w:rStyle w:val="Hyperlink"/>
                  <w:rFonts w:ascii="Arial" w:hAnsi="Arial" w:cs="Arial"/>
                  <w:color w:val="auto"/>
                  <w:sz w:val="20"/>
                </w:rPr>
                <w:t>overseas</w:t>
              </w:r>
            </w:hyperlink>
            <w:r>
              <w:rPr>
                <w:rFonts w:ascii="Arial" w:hAnsi="Arial" w:cs="Arial"/>
                <w:sz w:val="20"/>
              </w:rPr>
              <w:t>]?</w:t>
            </w:r>
          </w:p>
          <w:p w:rsidR="001C0D62" w:rsidRDefault="001C0D62">
            <w:pPr>
              <w:numPr>
                <w:ilvl w:val="0"/>
                <w:numId w:val="2"/>
              </w:numPr>
              <w:rPr>
                <w:rFonts w:ascii="Arial" w:hAnsi="Arial" w:cs="Arial"/>
                <w:sz w:val="20"/>
              </w:rPr>
            </w:pPr>
            <w:r>
              <w:rPr>
                <w:rFonts w:ascii="Arial" w:hAnsi="Arial" w:cs="Arial"/>
                <w:sz w:val="20"/>
              </w:rPr>
              <w:t xml:space="preserve">Does the field work involve a ‘party’ of participants or </w:t>
            </w:r>
            <w:hyperlink r:id="rId73" w:history="1">
              <w:r>
                <w:rPr>
                  <w:rStyle w:val="Hyperlink"/>
                  <w:rFonts w:ascii="Arial" w:hAnsi="Arial" w:cs="Arial"/>
                  <w:color w:val="auto"/>
                  <w:sz w:val="20"/>
                </w:rPr>
                <w:t xml:space="preserve">lone working </w:t>
              </w:r>
            </w:hyperlink>
            <w:r>
              <w:rPr>
                <w:rFonts w:ascii="Arial" w:hAnsi="Arial" w:cs="Arial"/>
                <w:sz w:val="20"/>
              </w:rPr>
              <w:t>?</w:t>
            </w:r>
          </w:p>
          <w:p w:rsidR="001C0D62" w:rsidRDefault="001C0D62">
            <w:pPr>
              <w:numPr>
                <w:ilvl w:val="0"/>
                <w:numId w:val="2"/>
              </w:numPr>
              <w:rPr>
                <w:rFonts w:ascii="Arial" w:hAnsi="Arial" w:cs="Arial"/>
                <w:sz w:val="20"/>
              </w:rPr>
            </w:pPr>
            <w:r>
              <w:rPr>
                <w:rFonts w:ascii="Arial" w:hAnsi="Arial" w:cs="Arial"/>
                <w:sz w:val="20"/>
              </w:rPr>
              <w:t xml:space="preserve">Does the activity involve children visiting from </w:t>
            </w:r>
            <w:hyperlink r:id="rId74" w:history="1">
              <w:r>
                <w:rPr>
                  <w:rStyle w:val="Hyperlink"/>
                  <w:rFonts w:ascii="Arial" w:hAnsi="Arial" w:cs="Arial"/>
                  <w:color w:val="auto"/>
                  <w:sz w:val="20"/>
                </w:rPr>
                <w:t>schools?</w:t>
              </w:r>
            </w:hyperlink>
          </w:p>
        </w:tc>
        <w:tc>
          <w:tcPr>
            <w:tcW w:w="1130" w:type="dxa"/>
            <w:tcBorders>
              <w:top w:val="outset" w:sz="6" w:space="0" w:color="auto"/>
              <w:left w:val="outset" w:sz="6" w:space="0" w:color="auto"/>
              <w:bottom w:val="outset" w:sz="6" w:space="0" w:color="auto"/>
            </w:tcBorders>
          </w:tcPr>
          <w:p w:rsidR="001C0D62" w:rsidRDefault="001C0D62">
            <w:pPr>
              <w:rPr>
                <w:rFonts w:ascii="Arial" w:hAnsi="Arial" w:cs="Arial"/>
                <w:sz w:val="20"/>
              </w:rPr>
            </w:pPr>
            <w:r>
              <w:rPr>
                <w:rFonts w:ascii="Arial" w:hAnsi="Arial" w:cs="Arial"/>
                <w:sz w:val="20"/>
              </w:rPr>
              <w:t>A) Yes</w:t>
            </w:r>
          </w:p>
          <w:p w:rsidR="001C0D62" w:rsidRDefault="001C0D62">
            <w:pPr>
              <w:numPr>
                <w:ilvl w:val="0"/>
                <w:numId w:val="8"/>
              </w:numPr>
              <w:rPr>
                <w:rFonts w:ascii="Arial" w:hAnsi="Arial" w:cs="Arial"/>
                <w:sz w:val="20"/>
              </w:rPr>
            </w:pPr>
            <w:r>
              <w:rPr>
                <w:rFonts w:ascii="Arial" w:hAnsi="Arial" w:cs="Arial"/>
                <w:sz w:val="20"/>
              </w:rPr>
              <w:t xml:space="preserve">Yes </w:t>
            </w:r>
          </w:p>
          <w:p w:rsidR="001C0D62" w:rsidRDefault="001C0D62">
            <w:pPr>
              <w:numPr>
                <w:ilvl w:val="0"/>
                <w:numId w:val="8"/>
              </w:numPr>
              <w:rPr>
                <w:rFonts w:ascii="Arial" w:hAnsi="Arial" w:cs="Arial"/>
                <w:sz w:val="20"/>
              </w:rPr>
            </w:pPr>
            <w:r>
              <w:rPr>
                <w:rFonts w:ascii="Arial" w:hAnsi="Arial" w:cs="Arial"/>
                <w:sz w:val="20"/>
              </w:rPr>
              <w:t xml:space="preserve">Yes  </w:t>
            </w:r>
          </w:p>
          <w:p w:rsidR="001C0D62" w:rsidRDefault="001C0D62">
            <w:pPr>
              <w:numPr>
                <w:ilvl w:val="0"/>
                <w:numId w:val="8"/>
              </w:numPr>
              <w:rPr>
                <w:rFonts w:ascii="Arial" w:hAnsi="Arial" w:cs="Arial"/>
                <w:sz w:val="20"/>
              </w:rPr>
            </w:pPr>
            <w:r>
              <w:rPr>
                <w:rFonts w:ascii="Arial" w:hAnsi="Arial" w:cs="Arial"/>
                <w:sz w:val="20"/>
              </w:rPr>
              <w:t xml:space="preserve">No  </w:t>
            </w:r>
          </w:p>
        </w:tc>
      </w:tr>
      <w:tr w:rsidR="001C0D62">
        <w:trPr>
          <w:tblCellSpacing w:w="0" w:type="dxa"/>
        </w:trPr>
        <w:tc>
          <w:tcPr>
            <w:tcW w:w="7540" w:type="dxa"/>
            <w:tcBorders>
              <w:top w:val="outset" w:sz="6" w:space="0" w:color="auto"/>
              <w:bottom w:val="outset" w:sz="6" w:space="0" w:color="auto"/>
              <w:right w:val="outset" w:sz="6" w:space="0" w:color="auto"/>
            </w:tcBorders>
          </w:tcPr>
          <w:p w:rsidR="001C0D62" w:rsidRDefault="001C0D62">
            <w:pPr>
              <w:rPr>
                <w:rFonts w:ascii="Arial" w:hAnsi="Arial" w:cs="Arial"/>
                <w:sz w:val="20"/>
              </w:rPr>
            </w:pPr>
            <w:r>
              <w:rPr>
                <w:rFonts w:ascii="Arial" w:hAnsi="Arial" w:cs="Arial"/>
                <w:sz w:val="20"/>
              </w:rPr>
              <w:t>B) Does the activity involve humans other than the investigators? If Yes:</w:t>
            </w:r>
          </w:p>
          <w:p w:rsidR="001C0D62" w:rsidRDefault="001C0D62">
            <w:pPr>
              <w:numPr>
                <w:ilvl w:val="0"/>
                <w:numId w:val="3"/>
              </w:numPr>
              <w:rPr>
                <w:rFonts w:ascii="Arial" w:hAnsi="Arial" w:cs="Arial"/>
                <w:sz w:val="20"/>
              </w:rPr>
            </w:pPr>
            <w:r>
              <w:rPr>
                <w:rFonts w:ascii="Arial" w:hAnsi="Arial" w:cs="Arial"/>
                <w:sz w:val="20"/>
              </w:rPr>
              <w:t xml:space="preserve">Will the activity involve any external organisation for which separate and specific ethics clearance is required (e.g. NHS; school; any criminal justice agencies including the Police, CPS, Prison Service)? – start this now [CRB clearance process at </w:t>
            </w:r>
            <w:hyperlink r:id="rId75" w:history="1">
              <w:r>
                <w:rPr>
                  <w:rStyle w:val="Hyperlink"/>
                  <w:rFonts w:ascii="Arial" w:hAnsi="Arial" w:cs="Arial"/>
                  <w:color w:val="auto"/>
                  <w:sz w:val="20"/>
                </w:rPr>
                <w:t>Loughborough</w:t>
              </w:r>
            </w:hyperlink>
            <w:r>
              <w:rPr>
                <w:rFonts w:ascii="Arial" w:hAnsi="Arial" w:cs="Arial"/>
                <w:sz w:val="20"/>
              </w:rPr>
              <w:t xml:space="preserve">; </w:t>
            </w:r>
            <w:hyperlink r:id="rId76" w:history="1">
              <w:r>
                <w:rPr>
                  <w:rStyle w:val="Hyperlink"/>
                  <w:rFonts w:ascii="Arial" w:hAnsi="Arial" w:cs="Arial"/>
                  <w:color w:val="auto"/>
                  <w:sz w:val="20"/>
                </w:rPr>
                <w:t>Uclan contact</w:t>
              </w:r>
            </w:hyperlink>
            <w:r>
              <w:rPr>
                <w:rFonts w:ascii="Arial" w:hAnsi="Arial" w:cs="Arial"/>
                <w:sz w:val="20"/>
              </w:rPr>
              <w:t xml:space="preserve"> Carole Knight] </w:t>
            </w:r>
          </w:p>
          <w:p w:rsidR="001C0D62" w:rsidRDefault="001C0D62">
            <w:pPr>
              <w:numPr>
                <w:ilvl w:val="0"/>
                <w:numId w:val="3"/>
              </w:numPr>
              <w:rPr>
                <w:rFonts w:ascii="Arial" w:hAnsi="Arial" w:cs="Arial"/>
                <w:sz w:val="20"/>
              </w:rPr>
            </w:pPr>
            <w:r>
              <w:rPr>
                <w:rFonts w:ascii="Arial" w:hAnsi="Arial" w:cs="Arial"/>
                <w:sz w:val="20"/>
              </w:rPr>
              <w:t xml:space="preserve">Does the activity involve participants who are unable to give their informed consent (e.g. children, people with severe learning disabilities, unconscious patients etc.) or who may not be able to give valid consent (e.g. people experiencing mental health difficulties)? </w:t>
            </w:r>
          </w:p>
          <w:p w:rsidR="001C0D62" w:rsidRDefault="001C0D62">
            <w:pPr>
              <w:numPr>
                <w:ilvl w:val="0"/>
                <w:numId w:val="3"/>
              </w:numPr>
              <w:rPr>
                <w:rFonts w:ascii="Arial" w:hAnsi="Arial" w:cs="Arial"/>
                <w:sz w:val="20"/>
              </w:rPr>
            </w:pPr>
            <w:r>
              <w:rPr>
                <w:rFonts w:ascii="Arial" w:hAnsi="Arial" w:cs="Arial"/>
                <w:sz w:val="20"/>
              </w:rPr>
              <w:t xml:space="preserve">Does the activity require participants to give informed consent? [consent guidance at </w:t>
            </w:r>
            <w:hyperlink r:id="rId77" w:history="1">
              <w:r>
                <w:rPr>
                  <w:rStyle w:val="Hyperlink"/>
                  <w:rFonts w:ascii="Arial" w:hAnsi="Arial" w:cs="Arial"/>
                  <w:color w:val="auto"/>
                  <w:sz w:val="20"/>
                </w:rPr>
                <w:t>City U</w:t>
              </w:r>
            </w:hyperlink>
            <w:r>
              <w:rPr>
                <w:rFonts w:ascii="Arial" w:hAnsi="Arial" w:cs="Arial"/>
                <w:sz w:val="20"/>
              </w:rPr>
              <w:t xml:space="preserve">] </w:t>
            </w:r>
          </w:p>
          <w:p w:rsidR="001C0D62" w:rsidRDefault="001C0D62">
            <w:pPr>
              <w:numPr>
                <w:ilvl w:val="0"/>
                <w:numId w:val="3"/>
              </w:numPr>
              <w:rPr>
                <w:rFonts w:ascii="Arial" w:hAnsi="Arial" w:cs="Arial"/>
                <w:sz w:val="20"/>
              </w:rPr>
            </w:pPr>
            <w:r>
              <w:rPr>
                <w:rFonts w:ascii="Arial" w:hAnsi="Arial" w:cs="Arial"/>
                <w:sz w:val="20"/>
              </w:rPr>
              <w:t>Does the activity raise issues involving the potential abuse or misuse of power and authority which might compromise the validity of participants’ consent (e.g. relationships of line management or training)?</w:t>
            </w:r>
          </w:p>
          <w:p w:rsidR="001C0D62" w:rsidRDefault="001C0D62">
            <w:pPr>
              <w:numPr>
                <w:ilvl w:val="0"/>
                <w:numId w:val="3"/>
              </w:numPr>
              <w:rPr>
                <w:rFonts w:ascii="Arial" w:hAnsi="Arial" w:cs="Arial"/>
                <w:sz w:val="20"/>
              </w:rPr>
            </w:pPr>
            <w:r>
              <w:rPr>
                <w:rFonts w:ascii="Arial" w:hAnsi="Arial" w:cs="Arial"/>
                <w:sz w:val="20"/>
              </w:rPr>
              <w:t>Is there a potential risk arising from the project of physical, social, emotional or psychological harm to the researchers or participants?</w:t>
            </w:r>
          </w:p>
          <w:p w:rsidR="001C0D62" w:rsidRDefault="001C0D62">
            <w:pPr>
              <w:numPr>
                <w:ilvl w:val="0"/>
                <w:numId w:val="3"/>
              </w:numPr>
              <w:rPr>
                <w:rFonts w:ascii="Arial" w:hAnsi="Arial" w:cs="Arial"/>
                <w:sz w:val="20"/>
              </w:rPr>
            </w:pPr>
            <w:r>
              <w:rPr>
                <w:rFonts w:ascii="Arial" w:hAnsi="Arial" w:cs="Arial"/>
                <w:sz w:val="20"/>
              </w:rPr>
              <w:t>Does the activity involve the researchers and/or participants in the potential disclosure of any information relating to illegal activities; the observation of illegal activities; or the possession, viewing or storage (whether in hard copy of electronic format) which may be illegal?</w:t>
            </w:r>
          </w:p>
          <w:p w:rsidR="001C0D62" w:rsidRDefault="001C0D62">
            <w:pPr>
              <w:numPr>
                <w:ilvl w:val="0"/>
                <w:numId w:val="3"/>
              </w:numPr>
              <w:rPr>
                <w:rFonts w:ascii="Arial" w:hAnsi="Arial" w:cs="Arial"/>
                <w:sz w:val="20"/>
              </w:rPr>
            </w:pPr>
            <w:r>
              <w:rPr>
                <w:rFonts w:ascii="Arial" w:hAnsi="Arial" w:cs="Arial"/>
                <w:sz w:val="20"/>
              </w:rPr>
              <w:t>Will deception of the participant be necessary during the activity?</w:t>
            </w:r>
          </w:p>
          <w:p w:rsidR="001C0D62" w:rsidRDefault="001C0D62">
            <w:pPr>
              <w:numPr>
                <w:ilvl w:val="0"/>
                <w:numId w:val="3"/>
              </w:numPr>
              <w:rPr>
                <w:rFonts w:ascii="Arial" w:hAnsi="Arial" w:cs="Arial"/>
                <w:sz w:val="20"/>
              </w:rPr>
            </w:pPr>
            <w:r>
              <w:rPr>
                <w:rFonts w:ascii="Arial" w:hAnsi="Arial" w:cs="Arial"/>
                <w:sz w:val="20"/>
              </w:rPr>
              <w:t>Does the activity (e.g. art) aim to shock or offend?</w:t>
            </w:r>
          </w:p>
          <w:p w:rsidR="001C0D62" w:rsidRDefault="001C0D62">
            <w:pPr>
              <w:numPr>
                <w:ilvl w:val="0"/>
                <w:numId w:val="3"/>
              </w:numPr>
              <w:rPr>
                <w:rFonts w:ascii="Arial" w:hAnsi="Arial" w:cs="Arial"/>
                <w:sz w:val="20"/>
              </w:rPr>
            </w:pPr>
            <w:r>
              <w:rPr>
                <w:rFonts w:ascii="Arial" w:hAnsi="Arial" w:cs="Arial"/>
                <w:sz w:val="20"/>
              </w:rPr>
              <w:t>Will the activity involve invasion of privacy or access to confidential information about people without their permission?</w:t>
            </w:r>
          </w:p>
          <w:p w:rsidR="001C0D62" w:rsidRDefault="001C0D62">
            <w:pPr>
              <w:numPr>
                <w:ilvl w:val="0"/>
                <w:numId w:val="3"/>
              </w:numPr>
              <w:rPr>
                <w:rFonts w:ascii="Arial" w:hAnsi="Arial" w:cs="Arial"/>
                <w:sz w:val="20"/>
              </w:rPr>
            </w:pPr>
            <w:r>
              <w:rPr>
                <w:rFonts w:ascii="Arial" w:hAnsi="Arial" w:cs="Arial"/>
                <w:sz w:val="20"/>
              </w:rPr>
              <w:t>Does the activity involve medical research with humans, clinical trials or use human tissue samples or body fluids?</w:t>
            </w:r>
          </w:p>
          <w:p w:rsidR="001C0D62" w:rsidRDefault="001C0D62">
            <w:pPr>
              <w:numPr>
                <w:ilvl w:val="0"/>
                <w:numId w:val="3"/>
              </w:numPr>
              <w:rPr>
                <w:rFonts w:ascii="Arial" w:hAnsi="Arial" w:cs="Arial"/>
                <w:sz w:val="20"/>
              </w:rPr>
            </w:pPr>
            <w:r>
              <w:rPr>
                <w:rFonts w:ascii="Arial" w:hAnsi="Arial" w:cs="Arial"/>
                <w:sz w:val="20"/>
              </w:rPr>
              <w:t>Does the activity involve excavation and study of human remains?</w:t>
            </w:r>
          </w:p>
        </w:tc>
        <w:tc>
          <w:tcPr>
            <w:tcW w:w="1130" w:type="dxa"/>
            <w:tcBorders>
              <w:top w:val="outset" w:sz="6" w:space="0" w:color="auto"/>
              <w:left w:val="outset" w:sz="6" w:space="0" w:color="auto"/>
              <w:bottom w:val="outset" w:sz="6" w:space="0" w:color="auto"/>
            </w:tcBorders>
          </w:tcPr>
          <w:p w:rsidR="001C0D62" w:rsidRDefault="001C0D62">
            <w:pPr>
              <w:rPr>
                <w:rFonts w:ascii="Arial" w:hAnsi="Arial" w:cs="Arial"/>
                <w:sz w:val="20"/>
              </w:rPr>
            </w:pPr>
            <w:r>
              <w:rPr>
                <w:rFonts w:ascii="Arial" w:hAnsi="Arial" w:cs="Arial"/>
                <w:sz w:val="20"/>
              </w:rPr>
              <w:t>B) No</w:t>
            </w:r>
          </w:p>
          <w:p w:rsidR="001C0D62" w:rsidRDefault="001C0D62">
            <w:pPr>
              <w:numPr>
                <w:ilvl w:val="0"/>
                <w:numId w:val="9"/>
              </w:numPr>
              <w:rPr>
                <w:rFonts w:ascii="Arial" w:hAnsi="Arial" w:cs="Arial"/>
                <w:sz w:val="20"/>
              </w:rPr>
            </w:pPr>
            <w:r>
              <w:rPr>
                <w:rFonts w:ascii="Arial" w:hAnsi="Arial" w:cs="Arial"/>
                <w:sz w:val="20"/>
              </w:rPr>
              <w:t>No</w:t>
            </w:r>
          </w:p>
          <w:p w:rsidR="001C0D62" w:rsidRDefault="001C0D62">
            <w:pPr>
              <w:rPr>
                <w:rFonts w:ascii="Arial" w:hAnsi="Arial" w:cs="Arial"/>
                <w:sz w:val="20"/>
              </w:rPr>
            </w:pPr>
          </w:p>
          <w:p w:rsidR="001C0D62" w:rsidRDefault="001C0D62">
            <w:pPr>
              <w:rPr>
                <w:rFonts w:ascii="Arial" w:hAnsi="Arial" w:cs="Arial"/>
                <w:sz w:val="20"/>
              </w:rPr>
            </w:pPr>
          </w:p>
          <w:p w:rsidR="001C0D62" w:rsidRDefault="001C0D62">
            <w:pPr>
              <w:rPr>
                <w:rFonts w:ascii="Arial" w:hAnsi="Arial" w:cs="Arial"/>
                <w:sz w:val="20"/>
              </w:rPr>
            </w:pPr>
          </w:p>
          <w:p w:rsidR="001C0D62" w:rsidRDefault="001C0D62">
            <w:pPr>
              <w:numPr>
                <w:ilvl w:val="0"/>
                <w:numId w:val="9"/>
              </w:numPr>
              <w:rPr>
                <w:rFonts w:ascii="Arial" w:hAnsi="Arial" w:cs="Arial"/>
                <w:sz w:val="20"/>
              </w:rPr>
            </w:pPr>
            <w:r>
              <w:rPr>
                <w:rFonts w:ascii="Arial" w:hAnsi="Arial" w:cs="Arial"/>
                <w:sz w:val="20"/>
              </w:rPr>
              <w:t>No</w:t>
            </w:r>
          </w:p>
          <w:p w:rsidR="001C0D62" w:rsidRDefault="001C0D62">
            <w:pPr>
              <w:rPr>
                <w:rFonts w:ascii="Arial" w:hAnsi="Arial" w:cs="Arial"/>
                <w:sz w:val="20"/>
              </w:rPr>
            </w:pPr>
          </w:p>
          <w:p w:rsidR="001C0D62" w:rsidRDefault="001C0D62">
            <w:pPr>
              <w:rPr>
                <w:rFonts w:ascii="Arial" w:hAnsi="Arial" w:cs="Arial"/>
                <w:sz w:val="20"/>
              </w:rPr>
            </w:pPr>
          </w:p>
          <w:p w:rsidR="001C0D62" w:rsidRDefault="001C0D62">
            <w:pPr>
              <w:rPr>
                <w:rFonts w:ascii="Arial" w:hAnsi="Arial" w:cs="Arial"/>
                <w:sz w:val="20"/>
              </w:rPr>
            </w:pPr>
          </w:p>
          <w:p w:rsidR="001C0D62" w:rsidRDefault="001C0D62">
            <w:pPr>
              <w:numPr>
                <w:ilvl w:val="0"/>
                <w:numId w:val="9"/>
              </w:numPr>
              <w:rPr>
                <w:rFonts w:ascii="Arial" w:hAnsi="Arial" w:cs="Arial"/>
                <w:sz w:val="20"/>
              </w:rPr>
            </w:pPr>
            <w:r>
              <w:rPr>
                <w:rFonts w:ascii="Arial" w:hAnsi="Arial" w:cs="Arial"/>
                <w:sz w:val="20"/>
              </w:rPr>
              <w:t>No</w:t>
            </w:r>
            <w:r>
              <w:rPr>
                <w:rFonts w:ascii="Arial" w:hAnsi="Arial" w:cs="Arial"/>
                <w:sz w:val="20"/>
              </w:rPr>
              <w:br/>
            </w:r>
          </w:p>
          <w:p w:rsidR="001C0D62" w:rsidRDefault="001C0D62">
            <w:pPr>
              <w:numPr>
                <w:ilvl w:val="0"/>
                <w:numId w:val="9"/>
              </w:numPr>
              <w:rPr>
                <w:rFonts w:ascii="Arial" w:hAnsi="Arial" w:cs="Arial"/>
                <w:sz w:val="20"/>
              </w:rPr>
            </w:pPr>
            <w:r>
              <w:rPr>
                <w:rFonts w:ascii="Arial" w:hAnsi="Arial" w:cs="Arial"/>
                <w:sz w:val="20"/>
              </w:rPr>
              <w:t>No</w:t>
            </w:r>
            <w:r>
              <w:rPr>
                <w:rFonts w:ascii="Arial" w:hAnsi="Arial" w:cs="Arial"/>
                <w:sz w:val="20"/>
              </w:rPr>
              <w:br/>
            </w:r>
            <w:r>
              <w:rPr>
                <w:rFonts w:ascii="Arial" w:hAnsi="Arial" w:cs="Arial"/>
                <w:sz w:val="20"/>
              </w:rPr>
              <w:br/>
            </w:r>
          </w:p>
          <w:p w:rsidR="001C0D62" w:rsidRDefault="001C0D62">
            <w:pPr>
              <w:numPr>
                <w:ilvl w:val="0"/>
                <w:numId w:val="9"/>
              </w:numPr>
              <w:rPr>
                <w:rFonts w:ascii="Arial" w:hAnsi="Arial" w:cs="Arial"/>
                <w:sz w:val="20"/>
              </w:rPr>
            </w:pPr>
            <w:r>
              <w:rPr>
                <w:rFonts w:ascii="Arial" w:hAnsi="Arial" w:cs="Arial"/>
                <w:sz w:val="20"/>
              </w:rPr>
              <w:t xml:space="preserve">Yes  </w:t>
            </w:r>
            <w:r>
              <w:rPr>
                <w:rFonts w:ascii="Arial" w:hAnsi="Arial" w:cs="Arial"/>
                <w:sz w:val="20"/>
              </w:rPr>
              <w:br/>
            </w:r>
          </w:p>
          <w:p w:rsidR="001C0D62" w:rsidRDefault="001C0D62">
            <w:pPr>
              <w:numPr>
                <w:ilvl w:val="0"/>
                <w:numId w:val="9"/>
              </w:numPr>
              <w:rPr>
                <w:rFonts w:ascii="Arial" w:hAnsi="Arial" w:cs="Arial"/>
                <w:sz w:val="20"/>
              </w:rPr>
            </w:pPr>
            <w:r>
              <w:rPr>
                <w:rFonts w:ascii="Arial" w:hAnsi="Arial" w:cs="Arial"/>
                <w:sz w:val="20"/>
              </w:rPr>
              <w:t>No</w:t>
            </w:r>
            <w:r>
              <w:rPr>
                <w:rFonts w:ascii="Arial" w:hAnsi="Arial" w:cs="Arial"/>
                <w:sz w:val="20"/>
              </w:rPr>
              <w:br/>
            </w:r>
            <w:r>
              <w:rPr>
                <w:rFonts w:ascii="Arial" w:hAnsi="Arial" w:cs="Arial"/>
                <w:sz w:val="20"/>
              </w:rPr>
              <w:br/>
            </w:r>
            <w:r>
              <w:rPr>
                <w:rFonts w:ascii="Arial" w:hAnsi="Arial" w:cs="Arial"/>
                <w:sz w:val="20"/>
              </w:rPr>
              <w:br/>
            </w:r>
          </w:p>
          <w:p w:rsidR="001C0D62" w:rsidRDefault="001C0D62">
            <w:pPr>
              <w:numPr>
                <w:ilvl w:val="0"/>
                <w:numId w:val="9"/>
              </w:numPr>
              <w:rPr>
                <w:rFonts w:ascii="Arial" w:hAnsi="Arial" w:cs="Arial"/>
                <w:sz w:val="20"/>
              </w:rPr>
            </w:pPr>
            <w:r>
              <w:rPr>
                <w:rFonts w:ascii="Arial" w:hAnsi="Arial" w:cs="Arial"/>
                <w:sz w:val="20"/>
              </w:rPr>
              <w:t xml:space="preserve">No  </w:t>
            </w:r>
          </w:p>
          <w:p w:rsidR="001C0D62" w:rsidRDefault="001C0D62">
            <w:pPr>
              <w:numPr>
                <w:ilvl w:val="0"/>
                <w:numId w:val="9"/>
              </w:numPr>
              <w:rPr>
                <w:rFonts w:ascii="Arial" w:hAnsi="Arial" w:cs="Arial"/>
                <w:sz w:val="20"/>
              </w:rPr>
            </w:pPr>
            <w:r>
              <w:rPr>
                <w:rFonts w:ascii="Arial" w:hAnsi="Arial" w:cs="Arial"/>
                <w:sz w:val="20"/>
              </w:rPr>
              <w:t>No</w:t>
            </w:r>
          </w:p>
          <w:p w:rsidR="001C0D62" w:rsidRDefault="001C0D62">
            <w:pPr>
              <w:numPr>
                <w:ilvl w:val="0"/>
                <w:numId w:val="9"/>
              </w:numPr>
              <w:rPr>
                <w:rFonts w:ascii="Arial" w:hAnsi="Arial" w:cs="Arial"/>
                <w:sz w:val="20"/>
              </w:rPr>
            </w:pPr>
            <w:r>
              <w:rPr>
                <w:rFonts w:ascii="Arial" w:hAnsi="Arial" w:cs="Arial"/>
                <w:sz w:val="20"/>
              </w:rPr>
              <w:t>No</w:t>
            </w:r>
            <w:r>
              <w:rPr>
                <w:rFonts w:ascii="Arial" w:hAnsi="Arial" w:cs="Arial"/>
                <w:sz w:val="20"/>
              </w:rPr>
              <w:br/>
            </w:r>
          </w:p>
          <w:p w:rsidR="001C0D62" w:rsidRDefault="001C0D62">
            <w:pPr>
              <w:numPr>
                <w:ilvl w:val="0"/>
                <w:numId w:val="9"/>
              </w:numPr>
              <w:rPr>
                <w:rFonts w:ascii="Arial" w:hAnsi="Arial" w:cs="Arial"/>
                <w:sz w:val="20"/>
              </w:rPr>
            </w:pPr>
            <w:r>
              <w:rPr>
                <w:rFonts w:ascii="Arial" w:hAnsi="Arial" w:cs="Arial"/>
                <w:sz w:val="20"/>
              </w:rPr>
              <w:t>No</w:t>
            </w:r>
            <w:r>
              <w:rPr>
                <w:rFonts w:ascii="Arial" w:hAnsi="Arial" w:cs="Arial"/>
                <w:sz w:val="20"/>
              </w:rPr>
              <w:br/>
            </w:r>
          </w:p>
          <w:p w:rsidR="001C0D62" w:rsidRDefault="001C0D62">
            <w:pPr>
              <w:numPr>
                <w:ilvl w:val="0"/>
                <w:numId w:val="9"/>
              </w:numPr>
              <w:rPr>
                <w:rFonts w:ascii="Arial" w:hAnsi="Arial" w:cs="Arial"/>
                <w:sz w:val="20"/>
              </w:rPr>
            </w:pPr>
            <w:r>
              <w:rPr>
                <w:rFonts w:ascii="Arial" w:hAnsi="Arial" w:cs="Arial"/>
                <w:sz w:val="20"/>
              </w:rPr>
              <w:t xml:space="preserve">No  </w:t>
            </w:r>
          </w:p>
        </w:tc>
      </w:tr>
      <w:tr w:rsidR="001C0D62">
        <w:trPr>
          <w:tblCellSpacing w:w="0" w:type="dxa"/>
        </w:trPr>
        <w:tc>
          <w:tcPr>
            <w:tcW w:w="7540" w:type="dxa"/>
            <w:tcBorders>
              <w:top w:val="outset" w:sz="6" w:space="0" w:color="auto"/>
              <w:bottom w:val="outset" w:sz="6" w:space="0" w:color="auto"/>
              <w:right w:val="outset" w:sz="6" w:space="0" w:color="auto"/>
            </w:tcBorders>
          </w:tcPr>
          <w:p w:rsidR="001C0D62" w:rsidRDefault="001C0D62">
            <w:pPr>
              <w:rPr>
                <w:rFonts w:ascii="Arial" w:hAnsi="Arial" w:cs="Arial"/>
                <w:sz w:val="20"/>
              </w:rPr>
            </w:pPr>
            <w:r>
              <w:rPr>
                <w:rFonts w:ascii="Arial" w:hAnsi="Arial" w:cs="Arial"/>
                <w:sz w:val="20"/>
              </w:rPr>
              <w:t>C) Does the activity involve animals and other forms of life? If Yes:</w:t>
            </w:r>
          </w:p>
          <w:p w:rsidR="001C0D62" w:rsidRDefault="001C0D62">
            <w:pPr>
              <w:numPr>
                <w:ilvl w:val="0"/>
                <w:numId w:val="4"/>
              </w:numPr>
              <w:rPr>
                <w:rFonts w:ascii="Arial" w:hAnsi="Arial" w:cs="Arial"/>
                <w:sz w:val="20"/>
              </w:rPr>
            </w:pPr>
            <w:r>
              <w:rPr>
                <w:rFonts w:ascii="Arial" w:hAnsi="Arial" w:cs="Arial"/>
                <w:sz w:val="20"/>
              </w:rPr>
              <w:t>Does the activity involve scientific procedures being applied to a vertebrate animal (other than humans) or an octopus?</w:t>
            </w:r>
          </w:p>
          <w:p w:rsidR="001C0D62" w:rsidRDefault="001C0D62">
            <w:pPr>
              <w:numPr>
                <w:ilvl w:val="0"/>
                <w:numId w:val="4"/>
              </w:numPr>
              <w:rPr>
                <w:rFonts w:ascii="Arial" w:hAnsi="Arial" w:cs="Arial"/>
                <w:sz w:val="20"/>
              </w:rPr>
            </w:pPr>
            <w:r>
              <w:rPr>
                <w:rFonts w:ascii="Arial" w:hAnsi="Arial" w:cs="Arial"/>
                <w:sz w:val="20"/>
              </w:rPr>
              <w:t>Does the activity involve work with micro-organisms?</w:t>
            </w:r>
          </w:p>
          <w:p w:rsidR="001C0D62" w:rsidRDefault="001C0D62">
            <w:pPr>
              <w:numPr>
                <w:ilvl w:val="0"/>
                <w:numId w:val="4"/>
              </w:numPr>
              <w:rPr>
                <w:rFonts w:ascii="Arial" w:hAnsi="Arial" w:cs="Arial"/>
                <w:sz w:val="20"/>
              </w:rPr>
            </w:pPr>
            <w:r>
              <w:rPr>
                <w:rFonts w:ascii="Arial" w:hAnsi="Arial" w:cs="Arial"/>
                <w:sz w:val="20"/>
              </w:rPr>
              <w:t>Does the activity involve genetic modification?</w:t>
            </w:r>
          </w:p>
          <w:p w:rsidR="001C0D62" w:rsidRDefault="001C0D62">
            <w:pPr>
              <w:numPr>
                <w:ilvl w:val="0"/>
                <w:numId w:val="4"/>
              </w:numPr>
              <w:rPr>
                <w:rFonts w:ascii="Arial" w:hAnsi="Arial" w:cs="Arial"/>
                <w:sz w:val="20"/>
              </w:rPr>
            </w:pPr>
            <w:r>
              <w:rPr>
                <w:rFonts w:ascii="Arial" w:hAnsi="Arial" w:cs="Arial"/>
                <w:sz w:val="20"/>
              </w:rPr>
              <w:t>Does the activity involve collection of rare plants?</w:t>
            </w:r>
          </w:p>
        </w:tc>
        <w:tc>
          <w:tcPr>
            <w:tcW w:w="1130" w:type="dxa"/>
            <w:tcBorders>
              <w:top w:val="outset" w:sz="6" w:space="0" w:color="auto"/>
              <w:left w:val="outset" w:sz="6" w:space="0" w:color="auto"/>
              <w:bottom w:val="outset" w:sz="6" w:space="0" w:color="auto"/>
            </w:tcBorders>
          </w:tcPr>
          <w:p w:rsidR="001C0D62" w:rsidRDefault="001C0D62">
            <w:pPr>
              <w:rPr>
                <w:rFonts w:ascii="Arial" w:hAnsi="Arial" w:cs="Arial"/>
                <w:sz w:val="20"/>
              </w:rPr>
            </w:pPr>
            <w:r>
              <w:rPr>
                <w:rFonts w:ascii="Arial" w:hAnsi="Arial" w:cs="Arial"/>
                <w:sz w:val="20"/>
              </w:rPr>
              <w:t>C) No</w:t>
            </w:r>
          </w:p>
          <w:p w:rsidR="001C0D62" w:rsidRDefault="001C0D62">
            <w:pPr>
              <w:numPr>
                <w:ilvl w:val="0"/>
                <w:numId w:val="10"/>
              </w:numPr>
              <w:rPr>
                <w:rFonts w:ascii="Arial" w:hAnsi="Arial" w:cs="Arial"/>
                <w:sz w:val="20"/>
              </w:rPr>
            </w:pPr>
            <w:r>
              <w:rPr>
                <w:rFonts w:ascii="Arial" w:hAnsi="Arial" w:cs="Arial"/>
                <w:sz w:val="20"/>
              </w:rPr>
              <w:t xml:space="preserve">No  </w:t>
            </w:r>
            <w:r>
              <w:rPr>
                <w:rFonts w:ascii="Arial" w:hAnsi="Arial" w:cs="Arial"/>
                <w:sz w:val="20"/>
              </w:rPr>
              <w:br/>
            </w:r>
          </w:p>
          <w:p w:rsidR="001C0D62" w:rsidRDefault="001C0D62">
            <w:pPr>
              <w:numPr>
                <w:ilvl w:val="0"/>
                <w:numId w:val="10"/>
              </w:numPr>
              <w:rPr>
                <w:rFonts w:ascii="Arial" w:hAnsi="Arial" w:cs="Arial"/>
                <w:sz w:val="20"/>
              </w:rPr>
            </w:pPr>
            <w:r>
              <w:rPr>
                <w:rFonts w:ascii="Arial" w:hAnsi="Arial" w:cs="Arial"/>
                <w:sz w:val="20"/>
              </w:rPr>
              <w:t xml:space="preserve">No  </w:t>
            </w:r>
          </w:p>
          <w:p w:rsidR="001C0D62" w:rsidRDefault="001C0D62">
            <w:pPr>
              <w:numPr>
                <w:ilvl w:val="0"/>
                <w:numId w:val="10"/>
              </w:numPr>
              <w:rPr>
                <w:rFonts w:ascii="Arial" w:hAnsi="Arial" w:cs="Arial"/>
                <w:sz w:val="20"/>
              </w:rPr>
            </w:pPr>
            <w:r>
              <w:rPr>
                <w:rFonts w:ascii="Arial" w:hAnsi="Arial" w:cs="Arial"/>
                <w:sz w:val="20"/>
              </w:rPr>
              <w:t xml:space="preserve">No  </w:t>
            </w:r>
          </w:p>
          <w:p w:rsidR="001C0D62" w:rsidRDefault="001C0D62">
            <w:pPr>
              <w:numPr>
                <w:ilvl w:val="0"/>
                <w:numId w:val="10"/>
              </w:numPr>
              <w:rPr>
                <w:rFonts w:ascii="Arial" w:hAnsi="Arial" w:cs="Arial"/>
                <w:sz w:val="20"/>
              </w:rPr>
            </w:pPr>
            <w:r>
              <w:rPr>
                <w:rFonts w:ascii="Arial" w:hAnsi="Arial" w:cs="Arial"/>
                <w:sz w:val="20"/>
              </w:rPr>
              <w:t xml:space="preserve">No  </w:t>
            </w:r>
          </w:p>
        </w:tc>
      </w:tr>
      <w:tr w:rsidR="001C0D62">
        <w:trPr>
          <w:tblCellSpacing w:w="0" w:type="dxa"/>
        </w:trPr>
        <w:tc>
          <w:tcPr>
            <w:tcW w:w="7540" w:type="dxa"/>
            <w:tcBorders>
              <w:top w:val="outset" w:sz="6" w:space="0" w:color="auto"/>
              <w:bottom w:val="outset" w:sz="6" w:space="0" w:color="auto"/>
              <w:right w:val="outset" w:sz="6" w:space="0" w:color="auto"/>
            </w:tcBorders>
          </w:tcPr>
          <w:p w:rsidR="001C0D62" w:rsidRDefault="001C0D62">
            <w:pPr>
              <w:rPr>
                <w:rFonts w:ascii="Arial" w:hAnsi="Arial" w:cs="Arial"/>
                <w:sz w:val="20"/>
              </w:rPr>
            </w:pPr>
            <w:r>
              <w:rPr>
                <w:rFonts w:ascii="Arial" w:hAnsi="Arial" w:cs="Arial"/>
                <w:sz w:val="20"/>
              </w:rPr>
              <w:t xml:space="preserve">D) Does the activity involve </w:t>
            </w:r>
            <w:hyperlink r:id="rId78" w:history="1">
              <w:r>
                <w:rPr>
                  <w:rStyle w:val="Hyperlink"/>
                  <w:rFonts w:ascii="Arial" w:hAnsi="Arial" w:cs="Arial"/>
                  <w:color w:val="auto"/>
                  <w:sz w:val="20"/>
                </w:rPr>
                <w:t>data</w:t>
              </w:r>
            </w:hyperlink>
            <w:r>
              <w:rPr>
                <w:rFonts w:ascii="Arial" w:hAnsi="Arial" w:cs="Arial"/>
                <w:sz w:val="20"/>
              </w:rPr>
              <w:t xml:space="preserve"> about human subjects? If Yes:</w:t>
            </w:r>
          </w:p>
          <w:p w:rsidR="001C0D62" w:rsidRDefault="001C0D62">
            <w:pPr>
              <w:numPr>
                <w:ilvl w:val="0"/>
                <w:numId w:val="5"/>
              </w:numPr>
              <w:rPr>
                <w:rFonts w:ascii="Arial" w:hAnsi="Arial" w:cs="Arial"/>
                <w:sz w:val="20"/>
              </w:rPr>
            </w:pPr>
            <w:r>
              <w:rPr>
                <w:rFonts w:ascii="Arial" w:hAnsi="Arial" w:cs="Arial"/>
                <w:sz w:val="20"/>
              </w:rPr>
              <w:t xml:space="preserve">After using the data protection </w:t>
            </w:r>
            <w:hyperlink r:id="rId79" w:history="1">
              <w:r>
                <w:rPr>
                  <w:rStyle w:val="Hyperlink"/>
                  <w:rFonts w:ascii="Arial" w:hAnsi="Arial" w:cs="Arial"/>
                  <w:color w:val="auto"/>
                  <w:sz w:val="20"/>
                </w:rPr>
                <w:t>compliance checklist</w:t>
              </w:r>
            </w:hyperlink>
            <w:r>
              <w:rPr>
                <w:rFonts w:ascii="Arial" w:hAnsi="Arial" w:cs="Arial"/>
                <w:sz w:val="20"/>
              </w:rPr>
              <w:t xml:space="preserve">, have you any data protection </w:t>
            </w:r>
            <w:hyperlink r:id="rId80" w:history="1">
              <w:r>
                <w:rPr>
                  <w:rStyle w:val="Hyperlink"/>
                  <w:rFonts w:ascii="Arial" w:hAnsi="Arial" w:cs="Arial"/>
                  <w:color w:val="auto"/>
                  <w:sz w:val="20"/>
                </w:rPr>
                <w:t>requirements</w:t>
              </w:r>
            </w:hyperlink>
            <w:r>
              <w:rPr>
                <w:rFonts w:ascii="Arial" w:hAnsi="Arial" w:cs="Arial"/>
                <w:sz w:val="20"/>
              </w:rPr>
              <w:t>?</w:t>
            </w:r>
          </w:p>
          <w:p w:rsidR="001C0D62" w:rsidRDefault="001C0D62">
            <w:pPr>
              <w:numPr>
                <w:ilvl w:val="0"/>
                <w:numId w:val="5"/>
              </w:numPr>
              <w:rPr>
                <w:rFonts w:ascii="Arial" w:hAnsi="Arial" w:cs="Arial"/>
                <w:sz w:val="20"/>
              </w:rPr>
            </w:pPr>
            <w:r>
              <w:rPr>
                <w:rFonts w:ascii="Arial" w:hAnsi="Arial" w:cs="Arial"/>
                <w:sz w:val="20"/>
              </w:rPr>
              <w:t xml:space="preserve">After answering the data protection </w:t>
            </w:r>
            <w:hyperlink r:id="rId81" w:history="1">
              <w:r>
                <w:rPr>
                  <w:rStyle w:val="Hyperlink"/>
                  <w:rFonts w:ascii="Arial" w:hAnsi="Arial" w:cs="Arial"/>
                  <w:color w:val="auto"/>
                  <w:sz w:val="20"/>
                </w:rPr>
                <w:t>security processing questions</w:t>
              </w:r>
            </w:hyperlink>
            <w:r>
              <w:rPr>
                <w:rFonts w:ascii="Arial" w:hAnsi="Arial" w:cs="Arial"/>
                <w:sz w:val="20"/>
              </w:rPr>
              <w:t xml:space="preserve">, have you any security </w:t>
            </w:r>
            <w:hyperlink r:id="rId82" w:anchor="SECURITY" w:history="1">
              <w:r>
                <w:rPr>
                  <w:rStyle w:val="Hyperlink"/>
                  <w:rFonts w:ascii="Arial" w:hAnsi="Arial" w:cs="Arial"/>
                  <w:color w:val="auto"/>
                  <w:sz w:val="20"/>
                </w:rPr>
                <w:t>requirements</w:t>
              </w:r>
            </w:hyperlink>
            <w:r>
              <w:rPr>
                <w:rFonts w:ascii="Arial" w:hAnsi="Arial" w:cs="Arial"/>
                <w:sz w:val="20"/>
              </w:rPr>
              <w:t>? [</w:t>
            </w:r>
            <w:hyperlink r:id="rId83" w:history="1">
              <w:r>
                <w:rPr>
                  <w:rStyle w:val="Hyperlink"/>
                  <w:rFonts w:ascii="Arial" w:hAnsi="Arial" w:cs="Arial"/>
                  <w:color w:val="auto"/>
                  <w:sz w:val="20"/>
                </w:rPr>
                <w:t>Data storage</w:t>
              </w:r>
            </w:hyperlink>
            <w:r>
              <w:rPr>
                <w:rFonts w:ascii="Arial" w:hAnsi="Arial" w:cs="Arial"/>
                <w:sz w:val="20"/>
              </w:rPr>
              <w:t>] [</w:t>
            </w:r>
            <w:hyperlink r:id="rId84" w:history="1">
              <w:r>
                <w:rPr>
                  <w:rStyle w:val="Hyperlink"/>
                  <w:rFonts w:ascii="Arial" w:hAnsi="Arial" w:cs="Arial"/>
                  <w:color w:val="auto"/>
                  <w:sz w:val="20"/>
                </w:rPr>
                <w:t>keepraw data for 5 years</w:t>
              </w:r>
            </w:hyperlink>
            <w:r>
              <w:rPr>
                <w:rFonts w:ascii="Arial" w:hAnsi="Arial" w:cs="Arial"/>
                <w:sz w:val="20"/>
              </w:rPr>
              <w:t xml:space="preserve">] </w:t>
            </w:r>
          </w:p>
        </w:tc>
        <w:tc>
          <w:tcPr>
            <w:tcW w:w="1130" w:type="dxa"/>
            <w:tcBorders>
              <w:top w:val="outset" w:sz="6" w:space="0" w:color="auto"/>
              <w:left w:val="outset" w:sz="6" w:space="0" w:color="auto"/>
              <w:bottom w:val="outset" w:sz="6" w:space="0" w:color="auto"/>
            </w:tcBorders>
          </w:tcPr>
          <w:p w:rsidR="001C0D62" w:rsidRDefault="001C0D62">
            <w:pPr>
              <w:rPr>
                <w:rFonts w:ascii="Arial" w:hAnsi="Arial" w:cs="Arial"/>
                <w:sz w:val="20"/>
              </w:rPr>
            </w:pPr>
            <w:r>
              <w:rPr>
                <w:rFonts w:ascii="Arial" w:hAnsi="Arial" w:cs="Arial"/>
                <w:sz w:val="20"/>
              </w:rPr>
              <w:t>D) No</w:t>
            </w:r>
          </w:p>
          <w:p w:rsidR="001C0D62" w:rsidRDefault="001C0D62">
            <w:pPr>
              <w:numPr>
                <w:ilvl w:val="0"/>
                <w:numId w:val="11"/>
              </w:numPr>
              <w:rPr>
                <w:rFonts w:ascii="Arial" w:hAnsi="Arial" w:cs="Arial"/>
                <w:sz w:val="20"/>
              </w:rPr>
            </w:pPr>
            <w:r>
              <w:rPr>
                <w:rFonts w:ascii="Arial" w:hAnsi="Arial" w:cs="Arial"/>
                <w:sz w:val="20"/>
              </w:rPr>
              <w:t>No</w:t>
            </w:r>
            <w:r>
              <w:rPr>
                <w:rFonts w:ascii="Arial" w:hAnsi="Arial" w:cs="Arial"/>
                <w:sz w:val="20"/>
              </w:rPr>
              <w:br/>
            </w:r>
          </w:p>
          <w:p w:rsidR="001C0D62" w:rsidRDefault="001C0D62">
            <w:pPr>
              <w:numPr>
                <w:ilvl w:val="0"/>
                <w:numId w:val="11"/>
              </w:numPr>
              <w:rPr>
                <w:rFonts w:ascii="Arial" w:hAnsi="Arial" w:cs="Arial"/>
                <w:sz w:val="20"/>
              </w:rPr>
            </w:pPr>
            <w:r>
              <w:rPr>
                <w:rFonts w:ascii="Arial" w:hAnsi="Arial" w:cs="Arial"/>
                <w:sz w:val="20"/>
              </w:rPr>
              <w:t xml:space="preserve">No  </w:t>
            </w:r>
          </w:p>
        </w:tc>
      </w:tr>
      <w:tr w:rsidR="001C0D62">
        <w:trPr>
          <w:tblCellSpacing w:w="0" w:type="dxa"/>
        </w:trPr>
        <w:tc>
          <w:tcPr>
            <w:tcW w:w="7540" w:type="dxa"/>
            <w:tcBorders>
              <w:top w:val="outset" w:sz="6" w:space="0" w:color="auto"/>
              <w:bottom w:val="outset" w:sz="6" w:space="0" w:color="auto"/>
              <w:right w:val="outset" w:sz="6" w:space="0" w:color="auto"/>
            </w:tcBorders>
          </w:tcPr>
          <w:p w:rsidR="001C0D62" w:rsidRDefault="001C0D62">
            <w:pPr>
              <w:rPr>
                <w:rFonts w:ascii="Arial" w:hAnsi="Arial" w:cs="Arial"/>
                <w:sz w:val="20"/>
              </w:rPr>
            </w:pPr>
            <w:r>
              <w:rPr>
                <w:rFonts w:ascii="Arial" w:hAnsi="Arial" w:cs="Arial"/>
                <w:sz w:val="20"/>
              </w:rPr>
              <w:t xml:space="preserve">E) Does the activity involve </w:t>
            </w:r>
            <w:hyperlink r:id="rId85" w:history="1">
              <w:r>
                <w:rPr>
                  <w:rStyle w:val="Hyperlink"/>
                  <w:rFonts w:ascii="Arial" w:hAnsi="Arial" w:cs="Arial"/>
                  <w:color w:val="auto"/>
                  <w:sz w:val="20"/>
                </w:rPr>
                <w:t>hazardous substances</w:t>
              </w:r>
            </w:hyperlink>
            <w:r>
              <w:rPr>
                <w:rFonts w:ascii="Arial" w:hAnsi="Arial" w:cs="Arial"/>
                <w:sz w:val="20"/>
              </w:rPr>
              <w:t>? If Yes:</w:t>
            </w:r>
          </w:p>
          <w:p w:rsidR="001C0D62" w:rsidRDefault="001C0D62">
            <w:pPr>
              <w:numPr>
                <w:ilvl w:val="0"/>
                <w:numId w:val="6"/>
              </w:numPr>
              <w:rPr>
                <w:rFonts w:ascii="Arial" w:hAnsi="Arial" w:cs="Arial"/>
                <w:sz w:val="20"/>
              </w:rPr>
            </w:pPr>
            <w:r>
              <w:rPr>
                <w:rFonts w:ascii="Arial" w:hAnsi="Arial" w:cs="Arial"/>
                <w:sz w:val="20"/>
              </w:rPr>
              <w:t xml:space="preserve">Does the activity involve substances injurious to human or animal health or to the </w:t>
            </w:r>
            <w:hyperlink r:id="rId86" w:history="1">
              <w:r>
                <w:rPr>
                  <w:rStyle w:val="Hyperlink"/>
                  <w:rFonts w:ascii="Arial" w:hAnsi="Arial" w:cs="Arial"/>
                  <w:color w:val="auto"/>
                  <w:sz w:val="20"/>
                </w:rPr>
                <w:t>environment</w:t>
              </w:r>
            </w:hyperlink>
            <w:r>
              <w:rPr>
                <w:rFonts w:ascii="Arial" w:hAnsi="Arial" w:cs="Arial"/>
                <w:sz w:val="20"/>
              </w:rPr>
              <w:t xml:space="preserve">? Substances must be disposed properly. </w:t>
            </w:r>
          </w:p>
          <w:p w:rsidR="001C0D62" w:rsidRDefault="001C0D62">
            <w:pPr>
              <w:numPr>
                <w:ilvl w:val="0"/>
                <w:numId w:val="6"/>
              </w:numPr>
              <w:rPr>
                <w:rFonts w:ascii="Arial" w:hAnsi="Arial" w:cs="Arial"/>
                <w:sz w:val="20"/>
              </w:rPr>
            </w:pPr>
            <w:r>
              <w:rPr>
                <w:rFonts w:ascii="Arial" w:hAnsi="Arial" w:cs="Arial"/>
                <w:sz w:val="20"/>
              </w:rPr>
              <w:t xml:space="preserve">Does the activity involve igniting, exploding, heating or freezing substances? </w:t>
            </w:r>
          </w:p>
        </w:tc>
        <w:tc>
          <w:tcPr>
            <w:tcW w:w="1130" w:type="dxa"/>
            <w:tcBorders>
              <w:top w:val="outset" w:sz="6" w:space="0" w:color="auto"/>
              <w:left w:val="outset" w:sz="6" w:space="0" w:color="auto"/>
              <w:bottom w:val="outset" w:sz="6" w:space="0" w:color="auto"/>
            </w:tcBorders>
          </w:tcPr>
          <w:p w:rsidR="001C0D62" w:rsidRDefault="001C0D62">
            <w:pPr>
              <w:rPr>
                <w:rFonts w:ascii="Arial" w:hAnsi="Arial" w:cs="Arial"/>
                <w:sz w:val="20"/>
              </w:rPr>
            </w:pPr>
            <w:r>
              <w:rPr>
                <w:rFonts w:ascii="Arial" w:hAnsi="Arial" w:cs="Arial"/>
                <w:sz w:val="20"/>
              </w:rPr>
              <w:t>E) No</w:t>
            </w:r>
          </w:p>
          <w:p w:rsidR="001C0D62" w:rsidRDefault="001C0D62">
            <w:pPr>
              <w:numPr>
                <w:ilvl w:val="0"/>
                <w:numId w:val="12"/>
              </w:numPr>
              <w:rPr>
                <w:rFonts w:ascii="Arial" w:hAnsi="Arial" w:cs="Arial"/>
                <w:sz w:val="20"/>
              </w:rPr>
            </w:pPr>
            <w:r>
              <w:rPr>
                <w:rFonts w:ascii="Arial" w:hAnsi="Arial" w:cs="Arial"/>
                <w:sz w:val="20"/>
              </w:rPr>
              <w:t>No</w:t>
            </w:r>
            <w:r>
              <w:rPr>
                <w:rFonts w:ascii="Arial" w:hAnsi="Arial" w:cs="Arial"/>
                <w:sz w:val="20"/>
              </w:rPr>
              <w:br/>
            </w:r>
          </w:p>
          <w:p w:rsidR="001C0D62" w:rsidRDefault="001C0D62">
            <w:pPr>
              <w:numPr>
                <w:ilvl w:val="0"/>
                <w:numId w:val="12"/>
              </w:numPr>
              <w:rPr>
                <w:rFonts w:ascii="Arial" w:hAnsi="Arial" w:cs="Arial"/>
                <w:sz w:val="20"/>
              </w:rPr>
            </w:pPr>
            <w:r>
              <w:rPr>
                <w:rFonts w:ascii="Arial" w:hAnsi="Arial" w:cs="Arial"/>
                <w:sz w:val="20"/>
              </w:rPr>
              <w:t xml:space="preserve">No  </w:t>
            </w:r>
          </w:p>
        </w:tc>
      </w:tr>
      <w:tr w:rsidR="001C0D62">
        <w:trPr>
          <w:tblCellSpacing w:w="0" w:type="dxa"/>
        </w:trPr>
        <w:tc>
          <w:tcPr>
            <w:tcW w:w="7540" w:type="dxa"/>
            <w:tcBorders>
              <w:top w:val="outset" w:sz="6" w:space="0" w:color="auto"/>
              <w:bottom w:val="outset" w:sz="6" w:space="0" w:color="auto"/>
              <w:right w:val="outset" w:sz="6" w:space="0" w:color="auto"/>
            </w:tcBorders>
          </w:tcPr>
          <w:p w:rsidR="001C0D62" w:rsidRDefault="001C0D62">
            <w:pPr>
              <w:rPr>
                <w:rFonts w:ascii="Arial" w:hAnsi="Arial" w:cs="Arial"/>
                <w:sz w:val="20"/>
              </w:rPr>
            </w:pPr>
            <w:r>
              <w:rPr>
                <w:rFonts w:ascii="Arial" w:hAnsi="Arial" w:cs="Arial"/>
                <w:sz w:val="20"/>
              </w:rPr>
              <w:t>F) Other activities:</w:t>
            </w:r>
          </w:p>
          <w:p w:rsidR="001C0D62" w:rsidRDefault="001C0D62">
            <w:pPr>
              <w:numPr>
                <w:ilvl w:val="0"/>
                <w:numId w:val="7"/>
              </w:numPr>
              <w:rPr>
                <w:rFonts w:ascii="Arial" w:hAnsi="Arial" w:cs="Arial"/>
                <w:sz w:val="20"/>
              </w:rPr>
            </w:pPr>
            <w:r>
              <w:rPr>
                <w:rFonts w:ascii="Arial" w:hAnsi="Arial" w:cs="Arial"/>
                <w:sz w:val="20"/>
              </w:rPr>
              <w:t>Does the activity relate to military equipment, weapons or the Defence Industry?</w:t>
            </w:r>
          </w:p>
          <w:p w:rsidR="001C0D62" w:rsidRDefault="001C0D62">
            <w:pPr>
              <w:numPr>
                <w:ilvl w:val="0"/>
                <w:numId w:val="7"/>
              </w:numPr>
              <w:rPr>
                <w:rFonts w:ascii="Arial" w:hAnsi="Arial" w:cs="Arial"/>
                <w:sz w:val="20"/>
              </w:rPr>
            </w:pPr>
            <w:r>
              <w:rPr>
                <w:rFonts w:ascii="Arial" w:hAnsi="Arial" w:cs="Arial"/>
                <w:sz w:val="20"/>
              </w:rPr>
              <w:t>Are you aware of any ethical concerns about the company/ organisation, e.g. its product has a harmful effect on humans, animals or the environment;  it has a record of supporting repressive regimes; does it have ethical practices for its workers and for the safe disposal of products?</w:t>
            </w:r>
          </w:p>
        </w:tc>
        <w:tc>
          <w:tcPr>
            <w:tcW w:w="1130" w:type="dxa"/>
            <w:tcBorders>
              <w:top w:val="outset" w:sz="6" w:space="0" w:color="auto"/>
              <w:left w:val="outset" w:sz="6" w:space="0" w:color="auto"/>
              <w:bottom w:val="outset" w:sz="6" w:space="0" w:color="auto"/>
            </w:tcBorders>
          </w:tcPr>
          <w:p w:rsidR="001C0D62" w:rsidRDefault="001C0D62">
            <w:pPr>
              <w:rPr>
                <w:rFonts w:ascii="Arial" w:hAnsi="Arial" w:cs="Arial"/>
                <w:sz w:val="20"/>
              </w:rPr>
            </w:pPr>
            <w:r>
              <w:rPr>
                <w:rFonts w:ascii="Arial" w:hAnsi="Arial" w:cs="Arial"/>
                <w:sz w:val="20"/>
              </w:rPr>
              <w:t xml:space="preserve">F) </w:t>
            </w:r>
          </w:p>
          <w:p w:rsidR="001C0D62" w:rsidRDefault="001C0D62">
            <w:pPr>
              <w:numPr>
                <w:ilvl w:val="0"/>
                <w:numId w:val="13"/>
              </w:numPr>
              <w:rPr>
                <w:rFonts w:ascii="Arial" w:hAnsi="Arial" w:cs="Arial"/>
                <w:sz w:val="20"/>
              </w:rPr>
            </w:pPr>
            <w:r>
              <w:rPr>
                <w:rFonts w:ascii="Arial" w:hAnsi="Arial" w:cs="Arial"/>
                <w:sz w:val="20"/>
              </w:rPr>
              <w:t xml:space="preserve">No  </w:t>
            </w:r>
            <w:r>
              <w:rPr>
                <w:rFonts w:ascii="Arial" w:hAnsi="Arial" w:cs="Arial"/>
                <w:sz w:val="20"/>
              </w:rPr>
              <w:br/>
            </w:r>
          </w:p>
          <w:p w:rsidR="001C0D62" w:rsidRDefault="001C0D62">
            <w:pPr>
              <w:numPr>
                <w:ilvl w:val="0"/>
                <w:numId w:val="13"/>
              </w:numPr>
              <w:rPr>
                <w:rFonts w:ascii="Arial" w:hAnsi="Arial" w:cs="Arial"/>
                <w:sz w:val="20"/>
              </w:rPr>
            </w:pPr>
            <w:r>
              <w:rPr>
                <w:rFonts w:ascii="Arial" w:hAnsi="Arial" w:cs="Arial"/>
                <w:sz w:val="20"/>
              </w:rPr>
              <w:t xml:space="preserve">No  </w:t>
            </w:r>
          </w:p>
        </w:tc>
      </w:tr>
      <w:tr w:rsidR="001C0D62">
        <w:trPr>
          <w:tblCellSpacing w:w="0" w:type="dxa"/>
        </w:trPr>
        <w:tc>
          <w:tcPr>
            <w:tcW w:w="7540" w:type="dxa"/>
            <w:tcBorders>
              <w:top w:val="outset" w:sz="6" w:space="0" w:color="auto"/>
              <w:bottom w:val="outset" w:sz="6" w:space="0" w:color="auto"/>
              <w:right w:val="outset" w:sz="6" w:space="0" w:color="auto"/>
            </w:tcBorders>
          </w:tcPr>
          <w:p w:rsidR="001C0D62" w:rsidRDefault="001C0D62">
            <w:pPr>
              <w:rPr>
                <w:rFonts w:ascii="Arial" w:hAnsi="Arial" w:cs="Arial"/>
                <w:sz w:val="20"/>
              </w:rPr>
            </w:pPr>
            <w:r>
              <w:rPr>
                <w:rFonts w:ascii="Arial" w:hAnsi="Arial" w:cs="Arial"/>
                <w:sz w:val="20"/>
              </w:rPr>
              <w:t xml:space="preserve">Note: in all cases funding should not be accepted from tobacco-related industries </w:t>
            </w:r>
          </w:p>
        </w:tc>
        <w:tc>
          <w:tcPr>
            <w:tcW w:w="1130" w:type="dxa"/>
            <w:tcBorders>
              <w:top w:val="outset" w:sz="6" w:space="0" w:color="auto"/>
              <w:left w:val="outset" w:sz="6" w:space="0" w:color="auto"/>
              <w:bottom w:val="outset" w:sz="6" w:space="0" w:color="auto"/>
            </w:tcBorders>
          </w:tcPr>
          <w:p w:rsidR="001C0D62" w:rsidRDefault="001C0D62">
            <w:pPr>
              <w:rPr>
                <w:rFonts w:ascii="Arial" w:hAnsi="Arial" w:cs="Arial"/>
                <w:sz w:val="20"/>
              </w:rPr>
            </w:pPr>
          </w:p>
        </w:tc>
      </w:tr>
    </w:tbl>
    <w:p w:rsidR="001C0D62" w:rsidRDefault="001C0D62">
      <w:pPr>
        <w:rPr>
          <w:rFonts w:ascii="Arial" w:hAnsi="Arial" w:cs="Arial"/>
          <w:sz w:val="20"/>
        </w:rPr>
      </w:pPr>
    </w:p>
    <w:p w:rsidR="001C0D62" w:rsidRDefault="001C0D62">
      <w:pPr>
        <w:rPr>
          <w:rFonts w:ascii="Arial" w:hAnsi="Arial" w:cs="Arial"/>
          <w:sz w:val="20"/>
        </w:rPr>
      </w:pPr>
      <w:r>
        <w:rPr>
          <w:rFonts w:ascii="Arial" w:hAnsi="Arial" w:cs="Arial"/>
          <w:sz w:val="20"/>
        </w:rPr>
        <w:t xml:space="preserve">If you respond </w:t>
      </w:r>
      <w:r>
        <w:rPr>
          <w:rFonts w:ascii="Arial" w:hAnsi="Arial" w:cs="Arial"/>
          <w:b/>
          <w:sz w:val="20"/>
        </w:rPr>
        <w:t>Yes</w:t>
      </w:r>
      <w:r>
        <w:rPr>
          <w:rFonts w:ascii="Arial" w:hAnsi="Arial" w:cs="Arial"/>
          <w:sz w:val="20"/>
        </w:rPr>
        <w:t xml:space="preserve">, then you should </w:t>
      </w:r>
      <w:r>
        <w:rPr>
          <w:rFonts w:ascii="Arial" w:hAnsi="Arial" w:cs="Arial"/>
          <w:b/>
          <w:sz w:val="20"/>
        </w:rPr>
        <w:t>provide relevant documentation</w:t>
      </w:r>
      <w:r>
        <w:rPr>
          <w:rFonts w:ascii="Arial" w:hAnsi="Arial" w:cs="Arial"/>
          <w:sz w:val="20"/>
        </w:rPr>
        <w:t xml:space="preserve"> [including </w:t>
      </w:r>
      <w:hyperlink r:id="rId87" w:history="1">
        <w:r>
          <w:rPr>
            <w:rStyle w:val="Hyperlink"/>
            <w:rFonts w:ascii="Arial" w:hAnsi="Arial" w:cs="Arial"/>
            <w:color w:val="auto"/>
            <w:sz w:val="20"/>
          </w:rPr>
          <w:t>risk assessments</w:t>
        </w:r>
      </w:hyperlink>
      <w:r>
        <w:rPr>
          <w:rFonts w:ascii="Arial" w:hAnsi="Arial" w:cs="Arial"/>
          <w:sz w:val="20"/>
        </w:rPr>
        <w:t xml:space="preserve">] with the application, and cross-reference to it, eg A2 or B9. </w:t>
      </w:r>
      <w:r>
        <w:rPr>
          <w:rFonts w:ascii="Arial" w:hAnsi="Arial" w:cs="Arial"/>
          <w:b/>
          <w:sz w:val="20"/>
        </w:rPr>
        <w:t>Use reference numbers of standard</w:t>
      </w:r>
      <w:r>
        <w:rPr>
          <w:rFonts w:ascii="Arial" w:hAnsi="Arial" w:cs="Arial"/>
          <w:sz w:val="20"/>
        </w:rPr>
        <w:t xml:space="preserve"> forms, protocols and approaches and risk assessments where they exist.</w:t>
      </w:r>
    </w:p>
    <w:p w:rsidR="001C0D62" w:rsidRDefault="001C0D62">
      <w:pPr>
        <w:rPr>
          <w:rFonts w:ascii="Arial" w:hAnsi="Arial" w:cs="Arial"/>
          <w:sz w:val="20"/>
        </w:rPr>
      </w:pPr>
    </w:p>
    <w:p w:rsidR="001C0D62" w:rsidRDefault="001C0D62">
      <w:pPr>
        <w:rPr>
          <w:rFonts w:ascii="Arial" w:hAnsi="Arial" w:cs="Arial"/>
          <w:sz w:val="20"/>
        </w:rPr>
      </w:pPr>
      <w:r>
        <w:rPr>
          <w:rFonts w:ascii="Arial" w:hAnsi="Arial" w:cs="Arial"/>
          <w:sz w:val="20"/>
        </w:rPr>
        <w:t>These standard forms are being followed [cross reference to the characteristic, eg A2]:</w:t>
      </w:r>
    </w:p>
    <w:p w:rsidR="001C0D62" w:rsidRDefault="001F31B4">
      <w:pPr>
        <w:rPr>
          <w:rFonts w:ascii="Arial" w:hAnsi="Arial" w:cs="Arial"/>
          <w:sz w:val="20"/>
        </w:rPr>
      </w:pPr>
      <w:r>
        <w:rPr>
          <w:rFonts w:ascii="Arial" w:hAnsi="Arial" w:cs="Arial"/>
          <w:noProof/>
          <w:sz w:val="20"/>
          <w:lang w:val="en-GB" w:eastAsia="en-GB"/>
        </w:rPr>
        <mc:AlternateContent>
          <mc:Choice Requires="wps">
            <w:drawing>
              <wp:anchor distT="0" distB="0" distL="114300" distR="114300" simplePos="0" relativeHeight="251657728" behindDoc="0" locked="0" layoutInCell="1" allowOverlap="1">
                <wp:simplePos x="0" y="0"/>
                <wp:positionH relativeFrom="column">
                  <wp:posOffset>0</wp:posOffset>
                </wp:positionH>
                <wp:positionV relativeFrom="paragraph">
                  <wp:posOffset>64135</wp:posOffset>
                </wp:positionV>
                <wp:extent cx="5486400" cy="642620"/>
                <wp:effectExtent l="9525" t="6985" r="9525" b="7620"/>
                <wp:wrapNone/>
                <wp:docPr id="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642620"/>
                        </a:xfrm>
                        <a:prstGeom prst="rect">
                          <a:avLst/>
                        </a:prstGeom>
                        <a:solidFill>
                          <a:srgbClr val="FFFFFF"/>
                        </a:solidFill>
                        <a:ln w="9525">
                          <a:solidFill>
                            <a:srgbClr val="000000"/>
                          </a:solidFill>
                          <a:miter lim="800000"/>
                          <a:headEnd/>
                          <a:tailEnd/>
                        </a:ln>
                      </wps:spPr>
                      <wps:txbx>
                        <w:txbxContent>
                          <w:p w:rsidR="001C0D62" w:rsidRDefault="001C0D62">
                            <w:pPr>
                              <w:rPr>
                                <w:rFonts w:ascii="Arial" w:hAnsi="Arial" w:cs="Arial"/>
                                <w:sz w:val="20"/>
                              </w:rPr>
                            </w:pPr>
                            <w:r>
                              <w:rPr>
                                <w:rFonts w:ascii="Arial" w:hAnsi="Arial" w:cs="Arial"/>
                                <w:sz w:val="20"/>
                              </w:rPr>
                              <w:t>A1 – See Risk Assessment</w:t>
                            </w:r>
                            <w:r>
                              <w:rPr>
                                <w:rFonts w:ascii="Arial" w:hAnsi="Arial" w:cs="Arial"/>
                                <w:sz w:val="20"/>
                              </w:rPr>
                              <w:br/>
                              <w:t>A2 – See Risk Assessment</w:t>
                            </w:r>
                            <w:r>
                              <w:rPr>
                                <w:rFonts w:ascii="Arial" w:hAnsi="Arial" w:cs="Arial"/>
                                <w:sz w:val="20"/>
                              </w:rPr>
                              <w:br/>
                              <w:t>B5 – See Risk Assessment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0;margin-top:5.05pt;width:6in;height:50.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">
                <v:textbox>
                  <w:txbxContent>
                    <w:p w:rsidR="001C0D62" w:rsidRDefault="001C0D62">
                      <w:pPr>
                        <w:rPr>
                          <w:rFonts w:ascii="Arial" w:hAnsi="Arial" w:cs="Arial"/>
                          <w:sz w:val="20"/>
                        </w:rPr>
                      </w:pPr>
                      <w:r>
                        <w:rPr>
                          <w:rFonts w:ascii="Arial" w:hAnsi="Arial" w:cs="Arial"/>
                          <w:sz w:val="20"/>
                        </w:rPr>
                        <w:t>A1 – See Risk Assessment</w:t>
                      </w:r>
                      <w:r>
                        <w:rPr>
                          <w:rFonts w:ascii="Arial" w:hAnsi="Arial" w:cs="Arial"/>
                          <w:sz w:val="20"/>
                        </w:rPr>
                        <w:br/>
                        <w:t>A2 – See Risk Assessment</w:t>
                      </w:r>
                      <w:r>
                        <w:rPr>
                          <w:rFonts w:ascii="Arial" w:hAnsi="Arial" w:cs="Arial"/>
                          <w:sz w:val="20"/>
                        </w:rPr>
                        <w:br/>
                        <w:t>B5 – See Risk Assessment</w:t>
                      </w:r>
                    </w:p>
                  </w:txbxContent>
                </v:textbox>
              </v:shape>
            </w:pict>
          </mc:Fallback>
        </mc:AlternateContent>
      </w:r>
    </w:p>
    <w:p w:rsidR="001C0D62" w:rsidRDefault="001C0D62">
      <w:pPr>
        <w:rPr>
          <w:rFonts w:ascii="Arial" w:hAnsi="Arial" w:cs="Arial"/>
          <w:sz w:val="20"/>
        </w:rPr>
      </w:pPr>
    </w:p>
    <w:p w:rsidR="001C0D62" w:rsidRDefault="001C0D62">
      <w:pPr>
        <w:rPr>
          <w:rFonts w:ascii="Arial" w:hAnsi="Arial" w:cs="Arial"/>
          <w:sz w:val="20"/>
        </w:rPr>
      </w:pPr>
    </w:p>
    <w:p w:rsidR="001C0D62" w:rsidRDefault="001C0D62">
      <w:pPr>
        <w:rPr>
          <w:rFonts w:ascii="Arial" w:hAnsi="Arial" w:cs="Arial"/>
          <w:sz w:val="20"/>
        </w:rPr>
      </w:pPr>
    </w:p>
    <w:p w:rsidR="001C0D62" w:rsidRDefault="001C0D62">
      <w:pPr>
        <w:rPr>
          <w:rFonts w:ascii="Arial" w:hAnsi="Arial" w:cs="Arial"/>
          <w:sz w:val="20"/>
        </w:rPr>
      </w:pPr>
    </w:p>
    <w:p w:rsidR="001C0D62" w:rsidRDefault="001C0D62">
      <w:pPr>
        <w:rPr>
          <w:rFonts w:ascii="Arial" w:hAnsi="Arial" w:cs="Arial"/>
          <w:sz w:val="20"/>
        </w:rPr>
      </w:pPr>
    </w:p>
    <w:tbl>
      <w:tblPr>
        <w:tblW w:w="8293" w:type="dxa"/>
        <w:tblInd w:w="468" w:type="dxa"/>
        <w:tblBorders>
          <w:top w:val="double" w:sz="4" w:space="0" w:color="C0C0C0"/>
          <w:left w:val="double" w:sz="4" w:space="0" w:color="C0C0C0"/>
          <w:bottom w:val="double" w:sz="4" w:space="0" w:color="C0C0C0"/>
          <w:right w:val="double" w:sz="4" w:space="0" w:color="C0C0C0"/>
          <w:insideH w:val="double" w:sz="4" w:space="0" w:color="C0C0C0"/>
          <w:insideV w:val="double" w:sz="4" w:space="0" w:color="C0C0C0"/>
        </w:tblBorders>
        <w:tblLook w:val="0000" w:firstRow="0" w:lastRow="0" w:firstColumn="0" w:lastColumn="0" w:noHBand="0" w:noVBand="0"/>
      </w:tblPr>
      <w:tblGrid>
        <w:gridCol w:w="5767"/>
        <w:gridCol w:w="2526"/>
      </w:tblGrid>
      <w:tr w:rsidR="001C0D62">
        <w:tblPrEx>
          <w:tblCellMar>
            <w:top w:w="0" w:type="dxa"/>
            <w:bottom w:w="0" w:type="dxa"/>
          </w:tblCellMar>
        </w:tblPrEx>
        <w:trPr>
          <w:trHeight w:val="1344"/>
        </w:trPr>
        <w:tc>
          <w:tcPr>
            <w:tcW w:w="5884" w:type="dxa"/>
          </w:tcPr>
          <w:p w:rsidR="001C0D62" w:rsidRDefault="001C0D62">
            <w:pPr>
              <w:pStyle w:val="Heading1"/>
              <w:rPr>
                <w:sz w:val="22"/>
                <w:szCs w:val="22"/>
              </w:rPr>
            </w:pPr>
          </w:p>
          <w:p w:rsidR="001C0D62" w:rsidRDefault="001C0D62">
            <w:pPr>
              <w:pStyle w:val="Heading1"/>
              <w:rPr>
                <w:sz w:val="22"/>
                <w:szCs w:val="22"/>
              </w:rPr>
            </w:pPr>
            <w:r>
              <w:rPr>
                <w:sz w:val="22"/>
                <w:szCs w:val="22"/>
              </w:rPr>
              <w:t>Health, Safety and Environment Section</w:t>
            </w:r>
          </w:p>
          <w:p w:rsidR="001C0D62" w:rsidRDefault="001C0D62">
            <w:pPr>
              <w:rPr>
                <w:rFonts w:ascii="Arial" w:hAnsi="Arial" w:cs="Arial"/>
                <w:sz w:val="22"/>
                <w:szCs w:val="22"/>
              </w:rPr>
            </w:pPr>
          </w:p>
          <w:p w:rsidR="001C0D62" w:rsidRDefault="001C0D62">
            <w:pPr>
              <w:pStyle w:val="Heading1"/>
              <w:rPr>
                <w:color w:val="333399"/>
                <w:sz w:val="22"/>
                <w:szCs w:val="22"/>
              </w:rPr>
            </w:pPr>
            <w:r>
              <w:rPr>
                <w:color w:val="333399"/>
                <w:sz w:val="22"/>
                <w:szCs w:val="22"/>
              </w:rPr>
              <w:t>RISK ASSESSMENT FORM</w:t>
            </w:r>
          </w:p>
        </w:tc>
        <w:tc>
          <w:tcPr>
            <w:tcW w:w="2409" w:type="dxa"/>
          </w:tcPr>
          <w:p w:rsidR="001C0D62" w:rsidRDefault="001F31B4">
            <w:pPr>
              <w:jc w:val="center"/>
              <w:rPr>
                <w:rFonts w:ascii="Arial" w:hAnsi="Arial" w:cs="Arial"/>
                <w:sz w:val="22"/>
                <w:szCs w:val="22"/>
              </w:rPr>
            </w:pPr>
            <w:r>
              <w:rPr>
                <w:rFonts w:ascii="Arial" w:hAnsi="Arial" w:cs="Arial"/>
                <w:noProof/>
                <w:sz w:val="22"/>
                <w:szCs w:val="22"/>
                <w:lang w:val="en-GB" w:eastAsia="en-GB"/>
              </w:rPr>
              <w:drawing>
                <wp:inline distT="0" distB="0" distL="0" distR="0">
                  <wp:extent cx="1460500" cy="927100"/>
                  <wp:effectExtent l="0" t="0" r="6350" b="6350"/>
                  <wp:docPr id="33" name="Picture 33" descr="uclanlogo July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uclanlogo July 200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460500" cy="927100"/>
                          </a:xfrm>
                          <a:prstGeom prst="rect">
                            <a:avLst/>
                          </a:prstGeom>
                          <a:noFill/>
                          <a:ln>
                            <a:noFill/>
                          </a:ln>
                        </pic:spPr>
                      </pic:pic>
                    </a:graphicData>
                  </a:graphic>
                </wp:inline>
              </w:drawing>
            </w:r>
          </w:p>
        </w:tc>
      </w:tr>
    </w:tbl>
    <w:p w:rsidR="001C0D62" w:rsidRDefault="001C0D62">
      <w:pPr>
        <w:rPr>
          <w:rFonts w:ascii="Arial" w:hAnsi="Arial" w:cs="Arial"/>
          <w:sz w:val="20"/>
        </w:rPr>
      </w:pPr>
    </w:p>
    <w:tbl>
      <w:tblPr>
        <w:tblW w:w="828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78"/>
        <w:gridCol w:w="3322"/>
        <w:gridCol w:w="1980"/>
      </w:tblGrid>
      <w:tr w:rsidR="001C0D62">
        <w:tblPrEx>
          <w:tblCellMar>
            <w:top w:w="0" w:type="dxa"/>
            <w:bottom w:w="0" w:type="dxa"/>
          </w:tblCellMar>
        </w:tblPrEx>
        <w:trPr>
          <w:trHeight w:val="282"/>
        </w:trPr>
        <w:tc>
          <w:tcPr>
            <w:tcW w:w="2978" w:type="dxa"/>
            <w:tcBorders>
              <w:right w:val="single" w:sz="4" w:space="0" w:color="auto"/>
            </w:tcBorders>
            <w:shd w:val="clear" w:color="auto" w:fill="E0E0E0"/>
          </w:tcPr>
          <w:p w:rsidR="001C0D62" w:rsidRDefault="001C0D62">
            <w:pPr>
              <w:rPr>
                <w:rFonts w:ascii="Arial" w:hAnsi="Arial" w:cs="Arial"/>
                <w:sz w:val="22"/>
                <w:szCs w:val="22"/>
              </w:rPr>
            </w:pPr>
            <w:r>
              <w:rPr>
                <w:rFonts w:ascii="Arial" w:hAnsi="Arial" w:cs="Arial"/>
                <w:b/>
                <w:bCs/>
                <w:sz w:val="22"/>
                <w:szCs w:val="22"/>
              </w:rPr>
              <w:t>Risk Assessment For</w:t>
            </w:r>
          </w:p>
        </w:tc>
        <w:tc>
          <w:tcPr>
            <w:tcW w:w="3322" w:type="dxa"/>
          </w:tcPr>
          <w:p w:rsidR="001C0D62" w:rsidRDefault="001C0D62">
            <w:pPr>
              <w:rPr>
                <w:rFonts w:ascii="Arial" w:hAnsi="Arial" w:cs="Arial"/>
                <w:sz w:val="22"/>
                <w:szCs w:val="22"/>
              </w:rPr>
            </w:pPr>
            <w:r>
              <w:rPr>
                <w:rFonts w:ascii="Arial" w:hAnsi="Arial" w:cs="Arial"/>
                <w:b/>
                <w:bCs/>
                <w:sz w:val="22"/>
                <w:szCs w:val="22"/>
              </w:rPr>
              <w:t>Assessment Undertaken By</w:t>
            </w:r>
          </w:p>
        </w:tc>
        <w:tc>
          <w:tcPr>
            <w:tcW w:w="1980" w:type="dxa"/>
          </w:tcPr>
          <w:p w:rsidR="001C0D62" w:rsidRDefault="001C0D62">
            <w:pPr>
              <w:jc w:val="both"/>
              <w:rPr>
                <w:rFonts w:ascii="Arial" w:hAnsi="Arial" w:cs="Arial"/>
                <w:b/>
                <w:bCs/>
                <w:sz w:val="22"/>
                <w:szCs w:val="22"/>
              </w:rPr>
            </w:pPr>
            <w:r>
              <w:rPr>
                <w:rFonts w:ascii="Arial" w:hAnsi="Arial" w:cs="Arial"/>
                <w:b/>
                <w:bCs/>
                <w:sz w:val="22"/>
                <w:szCs w:val="22"/>
              </w:rPr>
              <w:t>Assessment Reviewed</w:t>
            </w:r>
          </w:p>
        </w:tc>
      </w:tr>
      <w:tr w:rsidR="001C0D62">
        <w:tblPrEx>
          <w:tblCellMar>
            <w:top w:w="0" w:type="dxa"/>
            <w:bottom w:w="0" w:type="dxa"/>
          </w:tblCellMar>
        </w:tblPrEx>
        <w:trPr>
          <w:trHeight w:val="769"/>
        </w:trPr>
        <w:tc>
          <w:tcPr>
            <w:tcW w:w="2978" w:type="dxa"/>
            <w:tcBorders>
              <w:right w:val="single" w:sz="4" w:space="0" w:color="auto"/>
            </w:tcBorders>
          </w:tcPr>
          <w:p w:rsidR="001C0D62" w:rsidRDefault="001C0D62">
            <w:pPr>
              <w:rPr>
                <w:rFonts w:ascii="Arial" w:hAnsi="Arial" w:cs="Arial"/>
                <w:sz w:val="22"/>
                <w:szCs w:val="22"/>
              </w:rPr>
            </w:pPr>
            <w:r>
              <w:rPr>
                <w:rFonts w:ascii="Arial" w:hAnsi="Arial" w:cs="Arial"/>
                <w:b/>
                <w:bCs/>
                <w:sz w:val="22"/>
                <w:szCs w:val="22"/>
              </w:rPr>
              <w:t>Service / Faculty / Dept</w:t>
            </w:r>
            <w:r>
              <w:rPr>
                <w:rFonts w:ascii="Arial" w:hAnsi="Arial" w:cs="Arial"/>
                <w:sz w:val="22"/>
                <w:szCs w:val="22"/>
              </w:rPr>
              <w:t>:</w:t>
            </w:r>
          </w:p>
          <w:p w:rsidR="001C0D62" w:rsidRDefault="001C0D62">
            <w:pPr>
              <w:rPr>
                <w:rFonts w:ascii="Arial" w:hAnsi="Arial" w:cs="Arial"/>
                <w:sz w:val="22"/>
                <w:szCs w:val="22"/>
              </w:rPr>
            </w:pPr>
            <w:r>
              <w:rPr>
                <w:rFonts w:ascii="Arial" w:hAnsi="Arial" w:cs="Arial"/>
                <w:sz w:val="22"/>
                <w:szCs w:val="22"/>
              </w:rPr>
              <w:t>SBNE</w:t>
            </w:r>
          </w:p>
        </w:tc>
        <w:tc>
          <w:tcPr>
            <w:tcW w:w="3322" w:type="dxa"/>
          </w:tcPr>
          <w:p w:rsidR="001C0D62" w:rsidRDefault="001C0D62">
            <w:pPr>
              <w:pStyle w:val="Heading1"/>
              <w:rPr>
                <w:sz w:val="22"/>
                <w:szCs w:val="22"/>
              </w:rPr>
            </w:pPr>
            <w:r>
              <w:rPr>
                <w:sz w:val="22"/>
                <w:szCs w:val="22"/>
              </w:rPr>
              <w:t>Name: Rebecca Wild</w:t>
            </w:r>
          </w:p>
        </w:tc>
        <w:tc>
          <w:tcPr>
            <w:tcW w:w="1980" w:type="dxa"/>
          </w:tcPr>
          <w:p w:rsidR="001C0D62" w:rsidRDefault="001C0D62">
            <w:pPr>
              <w:rPr>
                <w:rFonts w:ascii="Arial" w:hAnsi="Arial" w:cs="Arial"/>
                <w:b/>
                <w:bCs/>
                <w:sz w:val="22"/>
                <w:szCs w:val="22"/>
              </w:rPr>
            </w:pPr>
            <w:r>
              <w:rPr>
                <w:rFonts w:ascii="Arial" w:hAnsi="Arial" w:cs="Arial"/>
                <w:b/>
                <w:bCs/>
                <w:sz w:val="22"/>
                <w:szCs w:val="22"/>
              </w:rPr>
              <w:t xml:space="preserve">Name: </w:t>
            </w:r>
          </w:p>
          <w:p w:rsidR="001C0D62" w:rsidRDefault="001C0D62">
            <w:pPr>
              <w:rPr>
                <w:rFonts w:ascii="Arial" w:hAnsi="Arial" w:cs="Arial"/>
                <w:b/>
                <w:bCs/>
                <w:sz w:val="22"/>
                <w:szCs w:val="22"/>
              </w:rPr>
            </w:pPr>
          </w:p>
        </w:tc>
      </w:tr>
      <w:tr w:rsidR="001C0D62">
        <w:tblPrEx>
          <w:tblCellMar>
            <w:top w:w="0" w:type="dxa"/>
            <w:bottom w:w="0" w:type="dxa"/>
          </w:tblCellMar>
        </w:tblPrEx>
        <w:trPr>
          <w:trHeight w:val="871"/>
        </w:trPr>
        <w:tc>
          <w:tcPr>
            <w:tcW w:w="2978" w:type="dxa"/>
            <w:tcBorders>
              <w:right w:val="single" w:sz="4" w:space="0" w:color="auto"/>
            </w:tcBorders>
          </w:tcPr>
          <w:p w:rsidR="001C0D62" w:rsidRDefault="001C0D62">
            <w:pPr>
              <w:rPr>
                <w:rFonts w:ascii="Arial" w:hAnsi="Arial" w:cs="Arial"/>
                <w:sz w:val="22"/>
                <w:szCs w:val="22"/>
              </w:rPr>
            </w:pPr>
            <w:r>
              <w:rPr>
                <w:rFonts w:ascii="Arial" w:hAnsi="Arial" w:cs="Arial"/>
                <w:b/>
                <w:bCs/>
                <w:sz w:val="22"/>
                <w:szCs w:val="22"/>
              </w:rPr>
              <w:t>Location of Activity</w:t>
            </w:r>
            <w:r>
              <w:rPr>
                <w:rFonts w:ascii="Arial" w:hAnsi="Arial" w:cs="Arial"/>
                <w:sz w:val="22"/>
                <w:szCs w:val="22"/>
              </w:rPr>
              <w:t xml:space="preserve">: Preitley Clough, </w:t>
            </w:r>
            <w:smartTag w:uri="urn:schemas-microsoft-com:office:smarttags" w:element="place">
              <w:r>
                <w:rPr>
                  <w:rFonts w:ascii="Arial" w:hAnsi="Arial" w:cs="Arial"/>
                  <w:sz w:val="22"/>
                  <w:szCs w:val="22"/>
                </w:rPr>
                <w:t>Accrington</w:t>
              </w:r>
            </w:smartTag>
          </w:p>
          <w:p w:rsidR="001C0D62" w:rsidRDefault="001C0D62">
            <w:pPr>
              <w:rPr>
                <w:rFonts w:ascii="Arial" w:hAnsi="Arial" w:cs="Arial"/>
                <w:sz w:val="22"/>
                <w:szCs w:val="22"/>
              </w:rPr>
            </w:pPr>
          </w:p>
        </w:tc>
        <w:tc>
          <w:tcPr>
            <w:tcW w:w="3322" w:type="dxa"/>
          </w:tcPr>
          <w:p w:rsidR="001C0D62" w:rsidRDefault="001C0D62">
            <w:pPr>
              <w:rPr>
                <w:rFonts w:ascii="Arial" w:hAnsi="Arial" w:cs="Arial"/>
                <w:b/>
                <w:bCs/>
                <w:sz w:val="22"/>
                <w:szCs w:val="22"/>
              </w:rPr>
            </w:pPr>
            <w:r>
              <w:rPr>
                <w:rFonts w:ascii="Arial" w:hAnsi="Arial" w:cs="Arial"/>
                <w:b/>
                <w:bCs/>
                <w:sz w:val="22"/>
                <w:szCs w:val="22"/>
              </w:rPr>
              <w:t>Date: 14/03/12</w:t>
            </w:r>
          </w:p>
        </w:tc>
        <w:tc>
          <w:tcPr>
            <w:tcW w:w="1980" w:type="dxa"/>
          </w:tcPr>
          <w:p w:rsidR="001C0D62" w:rsidRDefault="001C0D62">
            <w:pPr>
              <w:rPr>
                <w:rFonts w:ascii="Arial" w:hAnsi="Arial" w:cs="Arial"/>
                <w:b/>
                <w:bCs/>
                <w:sz w:val="22"/>
                <w:szCs w:val="22"/>
              </w:rPr>
            </w:pPr>
            <w:r>
              <w:rPr>
                <w:rFonts w:ascii="Arial" w:hAnsi="Arial" w:cs="Arial"/>
                <w:b/>
                <w:bCs/>
                <w:sz w:val="22"/>
                <w:szCs w:val="22"/>
              </w:rPr>
              <w:t>Date:</w:t>
            </w:r>
          </w:p>
        </w:tc>
      </w:tr>
      <w:tr w:rsidR="001C0D62">
        <w:tblPrEx>
          <w:tblCellMar>
            <w:top w:w="0" w:type="dxa"/>
            <w:bottom w:w="0" w:type="dxa"/>
          </w:tblCellMar>
        </w:tblPrEx>
        <w:trPr>
          <w:trHeight w:val="894"/>
        </w:trPr>
        <w:tc>
          <w:tcPr>
            <w:tcW w:w="2978" w:type="dxa"/>
            <w:tcBorders>
              <w:bottom w:val="nil"/>
              <w:right w:val="single" w:sz="4" w:space="0" w:color="auto"/>
            </w:tcBorders>
          </w:tcPr>
          <w:p w:rsidR="001C0D62" w:rsidRDefault="001C0D62">
            <w:pPr>
              <w:rPr>
                <w:rFonts w:ascii="Arial" w:hAnsi="Arial" w:cs="Arial"/>
                <w:sz w:val="22"/>
                <w:szCs w:val="22"/>
              </w:rPr>
            </w:pPr>
            <w:r>
              <w:rPr>
                <w:rFonts w:ascii="Arial" w:hAnsi="Arial" w:cs="Arial"/>
                <w:b/>
                <w:bCs/>
                <w:sz w:val="22"/>
                <w:szCs w:val="22"/>
              </w:rPr>
              <w:t xml:space="preserve">Activity: </w:t>
            </w:r>
            <w:r>
              <w:rPr>
                <w:rFonts w:ascii="Arial" w:hAnsi="Arial" w:cs="Arial"/>
                <w:sz w:val="22"/>
                <w:szCs w:val="22"/>
              </w:rPr>
              <w:t>Tree coring</w:t>
            </w:r>
          </w:p>
          <w:p w:rsidR="001C0D62" w:rsidRDefault="001C0D62">
            <w:pPr>
              <w:rPr>
                <w:rFonts w:ascii="Arial" w:hAnsi="Arial" w:cs="Arial"/>
                <w:sz w:val="22"/>
                <w:szCs w:val="22"/>
              </w:rPr>
            </w:pPr>
          </w:p>
        </w:tc>
        <w:tc>
          <w:tcPr>
            <w:tcW w:w="3322" w:type="dxa"/>
          </w:tcPr>
          <w:p w:rsidR="001C0D62" w:rsidRDefault="001C0D62">
            <w:pPr>
              <w:rPr>
                <w:rFonts w:ascii="Arial" w:hAnsi="Arial" w:cs="Arial"/>
                <w:b/>
                <w:bCs/>
                <w:sz w:val="22"/>
                <w:szCs w:val="22"/>
              </w:rPr>
            </w:pPr>
            <w:r>
              <w:rPr>
                <w:rFonts w:ascii="Arial" w:hAnsi="Arial" w:cs="Arial"/>
                <w:b/>
                <w:bCs/>
                <w:sz w:val="22"/>
                <w:szCs w:val="22"/>
              </w:rPr>
              <w:t>Signed by Head of Dept / equivalent</w:t>
            </w:r>
          </w:p>
          <w:p w:rsidR="001C0D62" w:rsidRDefault="001C0D62">
            <w:pPr>
              <w:rPr>
                <w:rFonts w:ascii="Arial" w:hAnsi="Arial" w:cs="Arial"/>
                <w:b/>
                <w:bCs/>
                <w:sz w:val="22"/>
                <w:szCs w:val="22"/>
              </w:rPr>
            </w:pPr>
          </w:p>
          <w:p w:rsidR="001C0D62" w:rsidRDefault="001C0D62">
            <w:pPr>
              <w:rPr>
                <w:rFonts w:ascii="Arial" w:hAnsi="Arial" w:cs="Arial"/>
                <w:sz w:val="22"/>
                <w:szCs w:val="22"/>
              </w:rPr>
            </w:pPr>
          </w:p>
        </w:tc>
        <w:tc>
          <w:tcPr>
            <w:tcW w:w="1980" w:type="dxa"/>
          </w:tcPr>
          <w:p w:rsidR="001C0D62" w:rsidRDefault="001C0D62">
            <w:pPr>
              <w:rPr>
                <w:rFonts w:ascii="Arial" w:hAnsi="Arial" w:cs="Arial"/>
                <w:b/>
                <w:bCs/>
                <w:sz w:val="22"/>
                <w:szCs w:val="22"/>
              </w:rPr>
            </w:pPr>
          </w:p>
        </w:tc>
      </w:tr>
      <w:tr w:rsidR="001C0D62">
        <w:tblPrEx>
          <w:tblCellMar>
            <w:top w:w="0" w:type="dxa"/>
            <w:bottom w:w="0" w:type="dxa"/>
          </w:tblCellMar>
        </w:tblPrEx>
        <w:trPr>
          <w:trHeight w:val="282"/>
        </w:trPr>
        <w:tc>
          <w:tcPr>
            <w:tcW w:w="2978" w:type="dxa"/>
            <w:tcBorders>
              <w:top w:val="nil"/>
              <w:right w:val="single" w:sz="4" w:space="0" w:color="auto"/>
            </w:tcBorders>
          </w:tcPr>
          <w:p w:rsidR="001C0D62" w:rsidRDefault="001C0D62">
            <w:pPr>
              <w:rPr>
                <w:rFonts w:ascii="Arial" w:hAnsi="Arial" w:cs="Arial"/>
                <w:b/>
                <w:bCs/>
                <w:sz w:val="22"/>
                <w:szCs w:val="22"/>
              </w:rPr>
            </w:pPr>
            <w:r>
              <w:rPr>
                <w:rFonts w:ascii="Arial" w:hAnsi="Arial" w:cs="Arial"/>
                <w:b/>
                <w:bCs/>
                <w:sz w:val="22"/>
                <w:szCs w:val="22"/>
              </w:rPr>
              <w:t xml:space="preserve">REF: </w:t>
            </w:r>
          </w:p>
        </w:tc>
        <w:tc>
          <w:tcPr>
            <w:tcW w:w="3322" w:type="dxa"/>
          </w:tcPr>
          <w:p w:rsidR="001C0D62" w:rsidRDefault="001C0D62">
            <w:pPr>
              <w:rPr>
                <w:rFonts w:ascii="Arial" w:hAnsi="Arial" w:cs="Arial"/>
                <w:b/>
                <w:bCs/>
                <w:sz w:val="22"/>
                <w:szCs w:val="22"/>
              </w:rPr>
            </w:pPr>
            <w:r>
              <w:rPr>
                <w:rFonts w:ascii="Arial" w:hAnsi="Arial" w:cs="Arial"/>
                <w:b/>
                <w:bCs/>
                <w:sz w:val="22"/>
                <w:szCs w:val="22"/>
              </w:rPr>
              <w:t xml:space="preserve">Date </w:t>
            </w:r>
          </w:p>
        </w:tc>
        <w:tc>
          <w:tcPr>
            <w:tcW w:w="1980" w:type="dxa"/>
          </w:tcPr>
          <w:p w:rsidR="001C0D62" w:rsidRDefault="001C0D62">
            <w:pPr>
              <w:rPr>
                <w:rFonts w:ascii="Arial" w:hAnsi="Arial" w:cs="Arial"/>
                <w:b/>
                <w:bCs/>
                <w:sz w:val="22"/>
                <w:szCs w:val="22"/>
              </w:rPr>
            </w:pPr>
          </w:p>
        </w:tc>
      </w:tr>
    </w:tbl>
    <w:p w:rsidR="001C0D62" w:rsidRDefault="001C0D62">
      <w:pPr>
        <w:rPr>
          <w:rFonts w:ascii="Arial" w:hAnsi="Arial" w:cs="Arial"/>
          <w:sz w:val="20"/>
        </w:rPr>
      </w:pPr>
    </w:p>
    <w:p w:rsidR="001C0D62" w:rsidRDefault="001C0D62">
      <w:pPr>
        <w:rPr>
          <w:rFonts w:ascii="Arial" w:hAnsi="Arial" w:cs="Arial"/>
          <w:sz w:val="20"/>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20"/>
        <w:gridCol w:w="1080"/>
        <w:gridCol w:w="2700"/>
        <w:gridCol w:w="1647"/>
        <w:gridCol w:w="1341"/>
      </w:tblGrid>
      <w:tr w:rsidR="001C0D62">
        <w:tblPrEx>
          <w:tblCellMar>
            <w:top w:w="0" w:type="dxa"/>
            <w:bottom w:w="0" w:type="dxa"/>
          </w:tblCellMar>
        </w:tblPrEx>
        <w:trPr>
          <w:trHeight w:val="1233"/>
        </w:trPr>
        <w:tc>
          <w:tcPr>
            <w:tcW w:w="1620" w:type="dxa"/>
          </w:tcPr>
          <w:p w:rsidR="001C0D62" w:rsidRDefault="001C0D62">
            <w:pPr>
              <w:rPr>
                <w:rFonts w:ascii="Arial" w:hAnsi="Arial" w:cs="Arial"/>
                <w:b/>
                <w:bCs/>
                <w:sz w:val="22"/>
              </w:rPr>
            </w:pPr>
            <w:r>
              <w:rPr>
                <w:rFonts w:ascii="Arial" w:hAnsi="Arial" w:cs="Arial"/>
                <w:b/>
                <w:bCs/>
                <w:sz w:val="22"/>
              </w:rPr>
              <w:t>List significant hazards here:</w:t>
            </w:r>
          </w:p>
        </w:tc>
        <w:tc>
          <w:tcPr>
            <w:tcW w:w="1080" w:type="dxa"/>
          </w:tcPr>
          <w:p w:rsidR="001C0D62" w:rsidRDefault="001C0D62">
            <w:pPr>
              <w:rPr>
                <w:rFonts w:ascii="Arial" w:hAnsi="Arial" w:cs="Arial"/>
                <w:b/>
                <w:bCs/>
                <w:sz w:val="22"/>
              </w:rPr>
            </w:pPr>
            <w:r>
              <w:rPr>
                <w:rFonts w:ascii="Arial" w:hAnsi="Arial" w:cs="Arial"/>
                <w:b/>
                <w:bCs/>
                <w:sz w:val="22"/>
              </w:rPr>
              <w:t>List groups of people who are at risk:</w:t>
            </w:r>
          </w:p>
        </w:tc>
        <w:tc>
          <w:tcPr>
            <w:tcW w:w="2700" w:type="dxa"/>
          </w:tcPr>
          <w:p w:rsidR="001C0D62" w:rsidRDefault="001C0D62">
            <w:pPr>
              <w:rPr>
                <w:rFonts w:ascii="Arial" w:hAnsi="Arial" w:cs="Arial"/>
                <w:b/>
                <w:bCs/>
                <w:sz w:val="22"/>
              </w:rPr>
            </w:pPr>
            <w:r>
              <w:rPr>
                <w:rFonts w:ascii="Arial" w:hAnsi="Arial" w:cs="Arial"/>
                <w:b/>
                <w:bCs/>
                <w:sz w:val="22"/>
              </w:rPr>
              <w:t>List existing controls, or refer to safety procedures etc.</w:t>
            </w:r>
          </w:p>
        </w:tc>
        <w:tc>
          <w:tcPr>
            <w:tcW w:w="1647" w:type="dxa"/>
          </w:tcPr>
          <w:p w:rsidR="001C0D62" w:rsidRDefault="001C0D62">
            <w:pPr>
              <w:rPr>
                <w:rFonts w:ascii="Arial" w:hAnsi="Arial" w:cs="Arial"/>
                <w:b/>
                <w:bCs/>
                <w:sz w:val="22"/>
              </w:rPr>
            </w:pPr>
            <w:r>
              <w:rPr>
                <w:rFonts w:ascii="Arial" w:hAnsi="Arial" w:cs="Arial"/>
                <w:b/>
                <w:bCs/>
                <w:sz w:val="22"/>
              </w:rPr>
              <w:t>For risks, which are not adequately controlled, list the action needed.</w:t>
            </w:r>
          </w:p>
        </w:tc>
        <w:tc>
          <w:tcPr>
            <w:tcW w:w="1341" w:type="dxa"/>
          </w:tcPr>
          <w:p w:rsidR="001C0D62" w:rsidRDefault="001C0D62">
            <w:pPr>
              <w:rPr>
                <w:rFonts w:ascii="Arial" w:hAnsi="Arial" w:cs="Arial"/>
                <w:b/>
                <w:bCs/>
                <w:sz w:val="22"/>
              </w:rPr>
            </w:pPr>
            <w:r>
              <w:rPr>
                <w:rFonts w:ascii="Arial" w:hAnsi="Arial" w:cs="Arial"/>
                <w:b/>
                <w:bCs/>
                <w:sz w:val="22"/>
              </w:rPr>
              <w:t>Remaining level of risk: high, medium or low</w:t>
            </w:r>
          </w:p>
        </w:tc>
      </w:tr>
      <w:tr w:rsidR="001C0D62">
        <w:tblPrEx>
          <w:tblCellMar>
            <w:top w:w="0" w:type="dxa"/>
            <w:bottom w:w="0" w:type="dxa"/>
          </w:tblCellMar>
        </w:tblPrEx>
        <w:trPr>
          <w:trHeight w:val="1306"/>
        </w:trPr>
        <w:tc>
          <w:tcPr>
            <w:tcW w:w="1620" w:type="dxa"/>
          </w:tcPr>
          <w:p w:rsidR="001C0D62" w:rsidRDefault="001C0D62">
            <w:pPr>
              <w:rPr>
                <w:rFonts w:ascii="Arial" w:hAnsi="Arial" w:cs="Arial"/>
                <w:sz w:val="20"/>
              </w:rPr>
            </w:pPr>
            <w:r>
              <w:rPr>
                <w:rFonts w:ascii="Arial" w:hAnsi="Arial" w:cs="Arial"/>
                <w:sz w:val="20"/>
              </w:rPr>
              <w:t>A2) Lone working</w:t>
            </w:r>
          </w:p>
        </w:tc>
        <w:tc>
          <w:tcPr>
            <w:tcW w:w="1080" w:type="dxa"/>
          </w:tcPr>
          <w:p w:rsidR="001C0D62" w:rsidRDefault="001C0D62">
            <w:pPr>
              <w:rPr>
                <w:rFonts w:ascii="Arial" w:hAnsi="Arial" w:cs="Arial"/>
                <w:sz w:val="20"/>
              </w:rPr>
            </w:pPr>
            <w:r>
              <w:rPr>
                <w:rFonts w:ascii="Arial" w:hAnsi="Arial" w:cs="Arial"/>
                <w:sz w:val="20"/>
              </w:rPr>
              <w:t>Self</w:t>
            </w:r>
          </w:p>
        </w:tc>
        <w:tc>
          <w:tcPr>
            <w:tcW w:w="2700" w:type="dxa"/>
          </w:tcPr>
          <w:p w:rsidR="001C0D62" w:rsidRDefault="001C0D62">
            <w:pPr>
              <w:rPr>
                <w:rFonts w:ascii="Arial" w:hAnsi="Arial" w:cs="Arial"/>
                <w:sz w:val="20"/>
              </w:rPr>
            </w:pPr>
            <w:r>
              <w:rPr>
                <w:rFonts w:ascii="Arial" w:hAnsi="Arial" w:cs="Arial"/>
                <w:sz w:val="20"/>
              </w:rPr>
              <w:t>Avoid lone working where possible especially if it is in an unfamiliar area.</w:t>
            </w:r>
            <w:r>
              <w:rPr>
                <w:rFonts w:ascii="Arial" w:hAnsi="Arial" w:cs="Arial"/>
                <w:sz w:val="20"/>
              </w:rPr>
              <w:br/>
              <w:t>Take a third party to assist in the collection of samples.</w:t>
            </w:r>
            <w:r>
              <w:rPr>
                <w:rFonts w:ascii="Arial" w:hAnsi="Arial" w:cs="Arial"/>
                <w:sz w:val="20"/>
              </w:rPr>
              <w:br/>
              <w:t>Always carry fully charged mobile phone</w:t>
            </w:r>
            <w:r>
              <w:rPr>
                <w:rFonts w:ascii="Arial" w:hAnsi="Arial" w:cs="Arial"/>
                <w:sz w:val="20"/>
              </w:rPr>
              <w:br/>
              <w:t>Location information given to a friend/family member along with estimated time of return</w:t>
            </w:r>
          </w:p>
        </w:tc>
        <w:tc>
          <w:tcPr>
            <w:tcW w:w="1647" w:type="dxa"/>
          </w:tcPr>
          <w:p w:rsidR="001C0D62" w:rsidRDefault="001C0D62">
            <w:pPr>
              <w:rPr>
                <w:rFonts w:ascii="Arial" w:hAnsi="Arial" w:cs="Arial"/>
                <w:sz w:val="20"/>
              </w:rPr>
            </w:pPr>
          </w:p>
        </w:tc>
        <w:tc>
          <w:tcPr>
            <w:tcW w:w="1341" w:type="dxa"/>
          </w:tcPr>
          <w:p w:rsidR="001C0D62" w:rsidRDefault="001C0D62">
            <w:pPr>
              <w:rPr>
                <w:rFonts w:ascii="Arial" w:hAnsi="Arial" w:cs="Arial"/>
                <w:sz w:val="20"/>
              </w:rPr>
            </w:pPr>
            <w:r>
              <w:rPr>
                <w:rFonts w:ascii="Arial" w:hAnsi="Arial" w:cs="Arial"/>
                <w:sz w:val="20"/>
              </w:rPr>
              <w:t>Low</w:t>
            </w:r>
          </w:p>
        </w:tc>
      </w:tr>
      <w:tr w:rsidR="001C0D62">
        <w:tblPrEx>
          <w:tblCellMar>
            <w:top w:w="0" w:type="dxa"/>
            <w:bottom w:w="0" w:type="dxa"/>
          </w:tblCellMar>
        </w:tblPrEx>
        <w:trPr>
          <w:trHeight w:val="653"/>
        </w:trPr>
        <w:tc>
          <w:tcPr>
            <w:tcW w:w="1620" w:type="dxa"/>
          </w:tcPr>
          <w:p w:rsidR="001C0D62" w:rsidRDefault="001C0D62">
            <w:pPr>
              <w:rPr>
                <w:rFonts w:ascii="Arial" w:hAnsi="Arial" w:cs="Arial"/>
                <w:sz w:val="20"/>
              </w:rPr>
            </w:pPr>
            <w:r>
              <w:rPr>
                <w:rFonts w:ascii="Arial" w:hAnsi="Arial" w:cs="Arial"/>
                <w:sz w:val="20"/>
              </w:rPr>
              <w:t>A1) Transportation: Car</w:t>
            </w:r>
          </w:p>
        </w:tc>
        <w:tc>
          <w:tcPr>
            <w:tcW w:w="1080" w:type="dxa"/>
          </w:tcPr>
          <w:p w:rsidR="001C0D62" w:rsidRDefault="001C0D62">
            <w:pPr>
              <w:rPr>
                <w:rFonts w:ascii="Arial" w:hAnsi="Arial" w:cs="Arial"/>
                <w:sz w:val="20"/>
              </w:rPr>
            </w:pPr>
            <w:r>
              <w:rPr>
                <w:rFonts w:ascii="Arial" w:hAnsi="Arial" w:cs="Arial"/>
                <w:sz w:val="20"/>
              </w:rPr>
              <w:t>Self</w:t>
            </w:r>
          </w:p>
        </w:tc>
        <w:tc>
          <w:tcPr>
            <w:tcW w:w="2700" w:type="dxa"/>
          </w:tcPr>
          <w:p w:rsidR="001C0D62" w:rsidRDefault="001C0D62">
            <w:pPr>
              <w:rPr>
                <w:rFonts w:ascii="Arial" w:hAnsi="Arial" w:cs="Arial"/>
                <w:sz w:val="20"/>
              </w:rPr>
            </w:pPr>
            <w:r>
              <w:rPr>
                <w:rFonts w:ascii="Arial" w:hAnsi="Arial" w:cs="Arial"/>
                <w:sz w:val="20"/>
              </w:rPr>
              <w:t>Contact details for insurance and breakdown/recovery services.</w:t>
            </w:r>
            <w:r>
              <w:rPr>
                <w:rFonts w:ascii="Arial" w:hAnsi="Arial" w:cs="Arial"/>
                <w:sz w:val="20"/>
              </w:rPr>
              <w:br/>
              <w:t>Ensure always have fully charged mobile phone.</w:t>
            </w:r>
          </w:p>
        </w:tc>
        <w:tc>
          <w:tcPr>
            <w:tcW w:w="1647" w:type="dxa"/>
          </w:tcPr>
          <w:p w:rsidR="001C0D62" w:rsidRDefault="001C0D62">
            <w:pPr>
              <w:rPr>
                <w:rFonts w:ascii="Arial" w:hAnsi="Arial" w:cs="Arial"/>
                <w:sz w:val="20"/>
              </w:rPr>
            </w:pPr>
          </w:p>
        </w:tc>
        <w:tc>
          <w:tcPr>
            <w:tcW w:w="1341" w:type="dxa"/>
          </w:tcPr>
          <w:p w:rsidR="001C0D62" w:rsidRDefault="001C0D62">
            <w:pPr>
              <w:rPr>
                <w:rFonts w:ascii="Arial" w:hAnsi="Arial" w:cs="Arial"/>
                <w:sz w:val="20"/>
              </w:rPr>
            </w:pPr>
            <w:r>
              <w:rPr>
                <w:rFonts w:ascii="Arial" w:hAnsi="Arial" w:cs="Arial"/>
                <w:sz w:val="20"/>
              </w:rPr>
              <w:t>Low</w:t>
            </w:r>
          </w:p>
        </w:tc>
      </w:tr>
      <w:tr w:rsidR="001C0D62">
        <w:tblPrEx>
          <w:tblCellMar>
            <w:top w:w="0" w:type="dxa"/>
            <w:bottom w:w="0" w:type="dxa"/>
          </w:tblCellMar>
        </w:tblPrEx>
        <w:trPr>
          <w:trHeight w:val="870"/>
        </w:trPr>
        <w:tc>
          <w:tcPr>
            <w:tcW w:w="1620" w:type="dxa"/>
          </w:tcPr>
          <w:p w:rsidR="001C0D62" w:rsidRDefault="001C0D62">
            <w:pPr>
              <w:rPr>
                <w:rFonts w:ascii="Arial" w:hAnsi="Arial" w:cs="Arial"/>
                <w:sz w:val="20"/>
              </w:rPr>
            </w:pPr>
            <w:r>
              <w:rPr>
                <w:rFonts w:ascii="Arial" w:hAnsi="Arial" w:cs="Arial"/>
                <w:sz w:val="20"/>
              </w:rPr>
              <w:t>B5) Slips, trips and falls when walking</w:t>
            </w:r>
          </w:p>
        </w:tc>
        <w:tc>
          <w:tcPr>
            <w:tcW w:w="1080" w:type="dxa"/>
          </w:tcPr>
          <w:p w:rsidR="001C0D62" w:rsidRDefault="001C0D62">
            <w:pPr>
              <w:rPr>
                <w:rFonts w:ascii="Arial" w:hAnsi="Arial" w:cs="Arial"/>
                <w:sz w:val="20"/>
              </w:rPr>
            </w:pPr>
            <w:r>
              <w:rPr>
                <w:rFonts w:ascii="Arial" w:hAnsi="Arial" w:cs="Arial"/>
                <w:sz w:val="20"/>
              </w:rPr>
              <w:t>Self</w:t>
            </w:r>
          </w:p>
        </w:tc>
        <w:tc>
          <w:tcPr>
            <w:tcW w:w="2700" w:type="dxa"/>
          </w:tcPr>
          <w:p w:rsidR="001C0D62" w:rsidRDefault="001C0D62">
            <w:pPr>
              <w:rPr>
                <w:rFonts w:ascii="Arial" w:hAnsi="Arial" w:cs="Arial"/>
                <w:sz w:val="20"/>
              </w:rPr>
            </w:pPr>
            <w:r>
              <w:rPr>
                <w:rFonts w:ascii="Arial" w:hAnsi="Arial" w:cs="Arial"/>
                <w:sz w:val="20"/>
              </w:rPr>
              <w:t>Use of appropriate clothing and footwear. Mobile phones to contact emergency services. Take into account environment and the kind of clothing and footwear required.</w:t>
            </w:r>
          </w:p>
        </w:tc>
        <w:tc>
          <w:tcPr>
            <w:tcW w:w="1647" w:type="dxa"/>
          </w:tcPr>
          <w:p w:rsidR="001C0D62" w:rsidRDefault="001C0D62">
            <w:pPr>
              <w:rPr>
                <w:rFonts w:ascii="Arial" w:hAnsi="Arial" w:cs="Arial"/>
                <w:sz w:val="20"/>
              </w:rPr>
            </w:pPr>
          </w:p>
        </w:tc>
        <w:tc>
          <w:tcPr>
            <w:tcW w:w="1341" w:type="dxa"/>
          </w:tcPr>
          <w:p w:rsidR="001C0D62" w:rsidRDefault="001C0D62">
            <w:pPr>
              <w:rPr>
                <w:rFonts w:ascii="Arial" w:hAnsi="Arial" w:cs="Arial"/>
                <w:sz w:val="20"/>
              </w:rPr>
            </w:pPr>
            <w:r>
              <w:rPr>
                <w:rFonts w:ascii="Arial" w:hAnsi="Arial" w:cs="Arial"/>
                <w:sz w:val="20"/>
              </w:rPr>
              <w:t>Low</w:t>
            </w:r>
          </w:p>
        </w:tc>
      </w:tr>
      <w:tr w:rsidR="001C0D62">
        <w:tblPrEx>
          <w:tblCellMar>
            <w:top w:w="0" w:type="dxa"/>
            <w:bottom w:w="0" w:type="dxa"/>
          </w:tblCellMar>
        </w:tblPrEx>
        <w:trPr>
          <w:trHeight w:val="1088"/>
        </w:trPr>
        <w:tc>
          <w:tcPr>
            <w:tcW w:w="1620" w:type="dxa"/>
          </w:tcPr>
          <w:p w:rsidR="001C0D62" w:rsidRDefault="001C0D62">
            <w:pPr>
              <w:rPr>
                <w:rFonts w:ascii="Arial" w:hAnsi="Arial" w:cs="Arial"/>
                <w:sz w:val="20"/>
              </w:rPr>
            </w:pPr>
            <w:r>
              <w:rPr>
                <w:rFonts w:ascii="Arial" w:hAnsi="Arial" w:cs="Arial"/>
                <w:sz w:val="20"/>
              </w:rPr>
              <w:t>B5) Weather</w:t>
            </w:r>
          </w:p>
        </w:tc>
        <w:tc>
          <w:tcPr>
            <w:tcW w:w="1080" w:type="dxa"/>
          </w:tcPr>
          <w:p w:rsidR="001C0D62" w:rsidRDefault="001C0D62">
            <w:pPr>
              <w:rPr>
                <w:rFonts w:ascii="Arial" w:hAnsi="Arial" w:cs="Arial"/>
                <w:sz w:val="20"/>
              </w:rPr>
            </w:pPr>
            <w:r>
              <w:rPr>
                <w:rFonts w:ascii="Arial" w:hAnsi="Arial" w:cs="Arial"/>
                <w:sz w:val="20"/>
              </w:rPr>
              <w:t>Self</w:t>
            </w:r>
          </w:p>
        </w:tc>
        <w:tc>
          <w:tcPr>
            <w:tcW w:w="2700" w:type="dxa"/>
          </w:tcPr>
          <w:p w:rsidR="001C0D62" w:rsidRDefault="001C0D62">
            <w:pPr>
              <w:rPr>
                <w:rFonts w:ascii="Arial" w:hAnsi="Arial" w:cs="Arial"/>
                <w:sz w:val="20"/>
              </w:rPr>
            </w:pPr>
            <w:r>
              <w:rPr>
                <w:rFonts w:ascii="Arial" w:hAnsi="Arial" w:cs="Arial"/>
                <w:sz w:val="20"/>
              </w:rPr>
              <w:t xml:space="preserve">Avoid skin exposure even if some cloud cover and use high factor sun block. Stop work if conditions begin to create significant increases in risk. Carry suitable clothing for change in conditions. Be aware of signs of hypothermia and/or sun stroke. </w:t>
            </w:r>
          </w:p>
        </w:tc>
        <w:tc>
          <w:tcPr>
            <w:tcW w:w="1647" w:type="dxa"/>
          </w:tcPr>
          <w:p w:rsidR="001C0D62" w:rsidRDefault="001C0D62">
            <w:pPr>
              <w:rPr>
                <w:rFonts w:ascii="Arial" w:hAnsi="Arial" w:cs="Arial"/>
                <w:sz w:val="20"/>
              </w:rPr>
            </w:pPr>
          </w:p>
        </w:tc>
        <w:tc>
          <w:tcPr>
            <w:tcW w:w="1341" w:type="dxa"/>
          </w:tcPr>
          <w:p w:rsidR="001C0D62" w:rsidRDefault="001C0D62">
            <w:pPr>
              <w:rPr>
                <w:rFonts w:ascii="Arial" w:hAnsi="Arial" w:cs="Arial"/>
                <w:sz w:val="20"/>
              </w:rPr>
            </w:pPr>
            <w:r>
              <w:rPr>
                <w:rFonts w:ascii="Arial" w:hAnsi="Arial" w:cs="Arial"/>
                <w:sz w:val="20"/>
              </w:rPr>
              <w:t>Low</w:t>
            </w:r>
          </w:p>
        </w:tc>
      </w:tr>
      <w:tr w:rsidR="001C0D62">
        <w:tblPrEx>
          <w:tblCellMar>
            <w:top w:w="0" w:type="dxa"/>
            <w:bottom w:w="0" w:type="dxa"/>
          </w:tblCellMar>
        </w:tblPrEx>
        <w:trPr>
          <w:trHeight w:val="417"/>
        </w:trPr>
        <w:tc>
          <w:tcPr>
            <w:tcW w:w="1620" w:type="dxa"/>
          </w:tcPr>
          <w:p w:rsidR="001C0D62" w:rsidRDefault="001C0D62">
            <w:pPr>
              <w:rPr>
                <w:rFonts w:ascii="Arial" w:hAnsi="Arial" w:cs="Arial"/>
                <w:sz w:val="20"/>
              </w:rPr>
            </w:pPr>
            <w:r>
              <w:rPr>
                <w:rFonts w:ascii="Arial" w:hAnsi="Arial" w:cs="Arial"/>
                <w:sz w:val="20"/>
              </w:rPr>
              <w:t>B5) Injury</w:t>
            </w:r>
          </w:p>
        </w:tc>
        <w:tc>
          <w:tcPr>
            <w:tcW w:w="1080" w:type="dxa"/>
          </w:tcPr>
          <w:p w:rsidR="001C0D62" w:rsidRDefault="001C0D62">
            <w:pPr>
              <w:rPr>
                <w:rFonts w:ascii="Arial" w:hAnsi="Arial" w:cs="Arial"/>
                <w:sz w:val="20"/>
              </w:rPr>
            </w:pPr>
            <w:r>
              <w:rPr>
                <w:rFonts w:ascii="Arial" w:hAnsi="Arial" w:cs="Arial"/>
                <w:sz w:val="20"/>
              </w:rPr>
              <w:t>Self</w:t>
            </w:r>
          </w:p>
        </w:tc>
        <w:tc>
          <w:tcPr>
            <w:tcW w:w="2700" w:type="dxa"/>
          </w:tcPr>
          <w:p w:rsidR="001C0D62" w:rsidRDefault="001C0D62">
            <w:pPr>
              <w:rPr>
                <w:rFonts w:ascii="Arial" w:hAnsi="Arial" w:cs="Arial"/>
                <w:sz w:val="20"/>
              </w:rPr>
            </w:pPr>
            <w:r>
              <w:rPr>
                <w:rFonts w:ascii="Arial" w:hAnsi="Arial" w:cs="Arial"/>
                <w:sz w:val="20"/>
              </w:rPr>
              <w:t>Avoid carrying too much equipment.</w:t>
            </w:r>
          </w:p>
          <w:p w:rsidR="001C0D62" w:rsidRDefault="001C0D62">
            <w:pPr>
              <w:rPr>
                <w:rFonts w:ascii="Arial" w:hAnsi="Arial" w:cs="Arial"/>
                <w:sz w:val="20"/>
              </w:rPr>
            </w:pPr>
            <w:r>
              <w:rPr>
                <w:rFonts w:ascii="Arial" w:hAnsi="Arial" w:cs="Arial"/>
                <w:sz w:val="20"/>
              </w:rPr>
              <w:t>Bend knees not back when lifting.</w:t>
            </w:r>
          </w:p>
        </w:tc>
        <w:tc>
          <w:tcPr>
            <w:tcW w:w="1647" w:type="dxa"/>
          </w:tcPr>
          <w:p w:rsidR="001C0D62" w:rsidRDefault="001C0D62">
            <w:pPr>
              <w:rPr>
                <w:rFonts w:ascii="Arial" w:hAnsi="Arial" w:cs="Arial"/>
                <w:sz w:val="20"/>
              </w:rPr>
            </w:pPr>
          </w:p>
        </w:tc>
        <w:tc>
          <w:tcPr>
            <w:tcW w:w="1341" w:type="dxa"/>
          </w:tcPr>
          <w:p w:rsidR="001C0D62" w:rsidRDefault="001C0D62">
            <w:pPr>
              <w:rPr>
                <w:rFonts w:ascii="Arial" w:hAnsi="Arial" w:cs="Arial"/>
                <w:sz w:val="20"/>
              </w:rPr>
            </w:pPr>
            <w:r>
              <w:rPr>
                <w:rFonts w:ascii="Arial" w:hAnsi="Arial" w:cs="Arial"/>
                <w:sz w:val="20"/>
              </w:rPr>
              <w:t>Low</w:t>
            </w:r>
          </w:p>
        </w:tc>
      </w:tr>
      <w:tr w:rsidR="001C0D62">
        <w:tblPrEx>
          <w:tblCellMar>
            <w:top w:w="0" w:type="dxa"/>
            <w:bottom w:w="0" w:type="dxa"/>
          </w:tblCellMar>
        </w:tblPrEx>
        <w:trPr>
          <w:trHeight w:val="653"/>
        </w:trPr>
        <w:tc>
          <w:tcPr>
            <w:tcW w:w="1620" w:type="dxa"/>
          </w:tcPr>
          <w:p w:rsidR="001C0D62" w:rsidRDefault="001C0D62">
            <w:pPr>
              <w:rPr>
                <w:rFonts w:ascii="Arial" w:hAnsi="Arial" w:cs="Arial"/>
                <w:sz w:val="20"/>
              </w:rPr>
            </w:pPr>
            <w:r>
              <w:rPr>
                <w:rFonts w:ascii="Arial" w:hAnsi="Arial" w:cs="Arial"/>
                <w:sz w:val="20"/>
              </w:rPr>
              <w:t>B5) Cuts and grazes</w:t>
            </w:r>
          </w:p>
        </w:tc>
        <w:tc>
          <w:tcPr>
            <w:tcW w:w="1080" w:type="dxa"/>
          </w:tcPr>
          <w:p w:rsidR="001C0D62" w:rsidRDefault="001C0D62">
            <w:pPr>
              <w:rPr>
                <w:rFonts w:ascii="Arial" w:hAnsi="Arial" w:cs="Arial"/>
                <w:sz w:val="20"/>
              </w:rPr>
            </w:pPr>
            <w:r>
              <w:rPr>
                <w:rFonts w:ascii="Arial" w:hAnsi="Arial" w:cs="Arial"/>
                <w:sz w:val="20"/>
              </w:rPr>
              <w:t>Self</w:t>
            </w:r>
          </w:p>
        </w:tc>
        <w:tc>
          <w:tcPr>
            <w:tcW w:w="2700" w:type="dxa"/>
          </w:tcPr>
          <w:p w:rsidR="001C0D62" w:rsidRDefault="001C0D62">
            <w:pPr>
              <w:rPr>
                <w:rFonts w:ascii="Arial" w:hAnsi="Arial" w:cs="Arial"/>
                <w:sz w:val="20"/>
              </w:rPr>
            </w:pPr>
            <w:r>
              <w:rPr>
                <w:rFonts w:ascii="Arial" w:hAnsi="Arial" w:cs="Arial"/>
                <w:sz w:val="20"/>
              </w:rPr>
              <w:t>Carry first Aid Kit.</w:t>
            </w:r>
            <w:r>
              <w:rPr>
                <w:rFonts w:ascii="Arial" w:hAnsi="Arial" w:cs="Arial"/>
                <w:sz w:val="20"/>
              </w:rPr>
              <w:br/>
              <w:t>Make sure any grazes are cleaned properly to avoid infection.</w:t>
            </w:r>
          </w:p>
        </w:tc>
        <w:tc>
          <w:tcPr>
            <w:tcW w:w="1647" w:type="dxa"/>
          </w:tcPr>
          <w:p w:rsidR="001C0D62" w:rsidRDefault="001C0D62">
            <w:pPr>
              <w:rPr>
                <w:rFonts w:ascii="Arial" w:hAnsi="Arial" w:cs="Arial"/>
                <w:sz w:val="20"/>
              </w:rPr>
            </w:pPr>
          </w:p>
        </w:tc>
        <w:tc>
          <w:tcPr>
            <w:tcW w:w="1341" w:type="dxa"/>
          </w:tcPr>
          <w:p w:rsidR="001C0D62" w:rsidRDefault="001C0D62">
            <w:pPr>
              <w:rPr>
                <w:rFonts w:ascii="Arial" w:hAnsi="Arial" w:cs="Arial"/>
                <w:sz w:val="20"/>
              </w:rPr>
            </w:pPr>
            <w:r>
              <w:rPr>
                <w:rFonts w:ascii="Arial" w:hAnsi="Arial" w:cs="Arial"/>
                <w:sz w:val="20"/>
              </w:rPr>
              <w:t>Low</w:t>
            </w:r>
          </w:p>
        </w:tc>
      </w:tr>
      <w:tr w:rsidR="001C0D62">
        <w:tblPrEx>
          <w:tblCellMar>
            <w:top w:w="0" w:type="dxa"/>
            <w:bottom w:w="0" w:type="dxa"/>
          </w:tblCellMar>
        </w:tblPrEx>
        <w:trPr>
          <w:trHeight w:val="653"/>
        </w:trPr>
        <w:tc>
          <w:tcPr>
            <w:tcW w:w="1620" w:type="dxa"/>
          </w:tcPr>
          <w:p w:rsidR="001C0D62" w:rsidRDefault="001C0D62">
            <w:pPr>
              <w:rPr>
                <w:rFonts w:ascii="Arial" w:hAnsi="Arial" w:cs="Arial"/>
                <w:sz w:val="20"/>
              </w:rPr>
            </w:pPr>
            <w:r>
              <w:rPr>
                <w:rFonts w:ascii="Arial" w:hAnsi="Arial" w:cs="Arial"/>
                <w:sz w:val="20"/>
              </w:rPr>
              <w:t>B5) Personal Security</w:t>
            </w:r>
          </w:p>
        </w:tc>
        <w:tc>
          <w:tcPr>
            <w:tcW w:w="1080" w:type="dxa"/>
          </w:tcPr>
          <w:p w:rsidR="001C0D62" w:rsidRDefault="001C0D62">
            <w:pPr>
              <w:rPr>
                <w:rFonts w:ascii="Arial" w:hAnsi="Arial" w:cs="Arial"/>
                <w:sz w:val="20"/>
              </w:rPr>
            </w:pPr>
            <w:r>
              <w:rPr>
                <w:rFonts w:ascii="Arial" w:hAnsi="Arial" w:cs="Arial"/>
                <w:sz w:val="20"/>
              </w:rPr>
              <w:t>Self</w:t>
            </w:r>
          </w:p>
        </w:tc>
        <w:tc>
          <w:tcPr>
            <w:tcW w:w="2700" w:type="dxa"/>
          </w:tcPr>
          <w:p w:rsidR="001C0D62" w:rsidRDefault="001C0D62">
            <w:pPr>
              <w:rPr>
                <w:rFonts w:ascii="Arial" w:hAnsi="Arial" w:cs="Arial"/>
                <w:sz w:val="20"/>
              </w:rPr>
            </w:pPr>
            <w:r>
              <w:rPr>
                <w:rFonts w:ascii="Arial" w:hAnsi="Arial" w:cs="Arial"/>
                <w:sz w:val="20"/>
              </w:rPr>
              <w:t>Mobile phone number and information given to a friend/family member as to the location of the study site and estimated time of return.</w:t>
            </w:r>
          </w:p>
        </w:tc>
        <w:tc>
          <w:tcPr>
            <w:tcW w:w="1647" w:type="dxa"/>
          </w:tcPr>
          <w:p w:rsidR="001C0D62" w:rsidRDefault="001C0D62">
            <w:pPr>
              <w:rPr>
                <w:rFonts w:ascii="Arial" w:hAnsi="Arial" w:cs="Arial"/>
                <w:sz w:val="20"/>
              </w:rPr>
            </w:pPr>
          </w:p>
        </w:tc>
        <w:tc>
          <w:tcPr>
            <w:tcW w:w="1341" w:type="dxa"/>
          </w:tcPr>
          <w:p w:rsidR="001C0D62" w:rsidRDefault="001C0D62">
            <w:pPr>
              <w:rPr>
                <w:rFonts w:ascii="Arial" w:hAnsi="Arial" w:cs="Arial"/>
                <w:sz w:val="20"/>
              </w:rPr>
            </w:pPr>
            <w:r>
              <w:rPr>
                <w:rFonts w:ascii="Arial" w:hAnsi="Arial" w:cs="Arial"/>
                <w:sz w:val="20"/>
              </w:rPr>
              <w:t>Low</w:t>
            </w:r>
          </w:p>
        </w:tc>
      </w:tr>
    </w:tbl>
    <w:p w:rsidR="001C0D62" w:rsidRDefault="001C0D62">
      <w:pPr>
        <w:rPr>
          <w:rFonts w:ascii="Arial" w:hAnsi="Arial" w:cs="Arial"/>
          <w:sz w:val="20"/>
        </w:rPr>
      </w:pPr>
    </w:p>
    <w:p w:rsidR="001C0D62" w:rsidRDefault="001C0D62">
      <w:pPr>
        <w:rPr>
          <w:rFonts w:ascii="Arial" w:hAnsi="Arial" w:cs="Arial"/>
          <w:sz w:val="20"/>
        </w:rPr>
      </w:pPr>
    </w:p>
    <w:p w:rsidR="001C0D62" w:rsidRDefault="001C0D62">
      <w:pPr>
        <w:rPr>
          <w:rFonts w:ascii="Arial" w:hAnsi="Arial" w:cs="Arial"/>
          <w:sz w:val="20"/>
        </w:rPr>
      </w:pPr>
    </w:p>
    <w:p w:rsidR="001C0D62" w:rsidRDefault="001C0D62">
      <w:pPr>
        <w:rPr>
          <w:rFonts w:ascii="Arial" w:hAnsi="Arial" w:cs="Arial"/>
          <w:sz w:val="20"/>
        </w:rPr>
      </w:pPr>
    </w:p>
    <w:p w:rsidR="001C0D62" w:rsidRDefault="001C0D62">
      <w:pPr>
        <w:rPr>
          <w:rFonts w:ascii="Arial" w:hAnsi="Arial" w:cs="Arial"/>
          <w:sz w:val="20"/>
        </w:rPr>
      </w:pPr>
    </w:p>
    <w:p w:rsidR="001C0D62" w:rsidRDefault="001C0D62">
      <w:pPr>
        <w:rPr>
          <w:rFonts w:ascii="Arial" w:hAnsi="Arial" w:cs="Arial"/>
          <w:sz w:val="20"/>
        </w:rPr>
      </w:pPr>
    </w:p>
    <w:p w:rsidR="001C0D62" w:rsidRDefault="001C0D62">
      <w:pPr>
        <w:rPr>
          <w:rFonts w:ascii="Arial" w:hAnsi="Arial" w:cs="Arial"/>
          <w:sz w:val="20"/>
        </w:rPr>
      </w:pPr>
    </w:p>
    <w:p w:rsidR="001C0D62" w:rsidRDefault="001C0D62">
      <w:pPr>
        <w:rPr>
          <w:rFonts w:ascii="Arial" w:hAnsi="Arial" w:cs="Arial"/>
          <w:sz w:val="20"/>
        </w:rPr>
      </w:pPr>
    </w:p>
    <w:p w:rsidR="001C0D62" w:rsidRDefault="001C0D62">
      <w:pPr>
        <w:rPr>
          <w:rFonts w:ascii="Arial" w:hAnsi="Arial" w:cs="Arial"/>
          <w:sz w:val="20"/>
        </w:rPr>
      </w:pPr>
    </w:p>
    <w:p w:rsidR="001C0D62" w:rsidRDefault="001C0D62">
      <w:pPr>
        <w:rPr>
          <w:rFonts w:ascii="Arial" w:hAnsi="Arial" w:cs="Arial"/>
          <w:sz w:val="20"/>
        </w:rPr>
      </w:pPr>
    </w:p>
    <w:p w:rsidR="001C0D62" w:rsidRDefault="001C0D62">
      <w:pPr>
        <w:rPr>
          <w:rFonts w:ascii="Arial" w:hAnsi="Arial" w:cs="Arial"/>
          <w:sz w:val="20"/>
        </w:rPr>
      </w:pPr>
    </w:p>
    <w:p w:rsidR="001C0D62" w:rsidRDefault="001C0D62">
      <w:pPr>
        <w:rPr>
          <w:rFonts w:ascii="Arial" w:hAnsi="Arial" w:cs="Arial"/>
          <w:sz w:val="20"/>
        </w:rPr>
      </w:pPr>
    </w:p>
    <w:p w:rsidR="001C0D62" w:rsidRDefault="001C0D62">
      <w:pPr>
        <w:rPr>
          <w:rFonts w:ascii="Arial" w:hAnsi="Arial" w:cs="Arial"/>
          <w:sz w:val="20"/>
        </w:rPr>
      </w:pPr>
    </w:p>
    <w:p w:rsidR="001C0D62" w:rsidRDefault="001C0D62">
      <w:pPr>
        <w:rPr>
          <w:rFonts w:ascii="Arial" w:hAnsi="Arial" w:cs="Arial"/>
          <w:sz w:val="20"/>
        </w:rPr>
      </w:pPr>
    </w:p>
    <w:p w:rsidR="001C0D62" w:rsidRDefault="001C0D62">
      <w:pPr>
        <w:rPr>
          <w:rFonts w:ascii="Arial" w:hAnsi="Arial" w:cs="Arial"/>
          <w:sz w:val="20"/>
        </w:rPr>
      </w:pPr>
    </w:p>
    <w:p w:rsidR="001C0D62" w:rsidRDefault="001C0D62">
      <w:pPr>
        <w:rPr>
          <w:rFonts w:ascii="Arial" w:hAnsi="Arial" w:cs="Arial"/>
          <w:sz w:val="20"/>
        </w:rPr>
      </w:pPr>
    </w:p>
    <w:p w:rsidR="001C0D62" w:rsidRDefault="001C0D62">
      <w:pPr>
        <w:rPr>
          <w:rFonts w:ascii="Arial" w:hAnsi="Arial" w:cs="Arial"/>
          <w:sz w:val="20"/>
        </w:rPr>
      </w:pPr>
    </w:p>
    <w:p w:rsidR="001C0D62" w:rsidRDefault="001C0D62">
      <w:pPr>
        <w:rPr>
          <w:rFonts w:ascii="Arial" w:hAnsi="Arial" w:cs="Arial"/>
          <w:sz w:val="20"/>
        </w:rPr>
      </w:pPr>
    </w:p>
    <w:p w:rsidR="001C0D62" w:rsidRDefault="001C0D62">
      <w:pPr>
        <w:rPr>
          <w:rFonts w:ascii="Arial" w:hAnsi="Arial" w:cs="Arial"/>
          <w:sz w:val="20"/>
        </w:rPr>
      </w:pPr>
    </w:p>
    <w:p w:rsidR="001C0D62" w:rsidRDefault="001C0D62">
      <w:pPr>
        <w:rPr>
          <w:rFonts w:ascii="Arial" w:hAnsi="Arial" w:cs="Arial"/>
          <w:sz w:val="20"/>
        </w:rPr>
      </w:pPr>
    </w:p>
    <w:p w:rsidR="001C0D62" w:rsidRDefault="001C0D62">
      <w:pPr>
        <w:rPr>
          <w:rFonts w:ascii="Arial" w:hAnsi="Arial" w:cs="Arial"/>
          <w:sz w:val="20"/>
        </w:rPr>
      </w:pPr>
    </w:p>
    <w:p w:rsidR="001C0D62" w:rsidRDefault="001C0D62">
      <w:pPr>
        <w:rPr>
          <w:rFonts w:ascii="Arial" w:hAnsi="Arial" w:cs="Arial"/>
          <w:sz w:val="20"/>
        </w:rPr>
      </w:pPr>
    </w:p>
    <w:p w:rsidR="001C0D62" w:rsidRDefault="001C0D62">
      <w:pPr>
        <w:rPr>
          <w:rFonts w:ascii="Arial" w:hAnsi="Arial" w:cs="Arial"/>
          <w:sz w:val="20"/>
        </w:rPr>
      </w:pPr>
    </w:p>
    <w:p w:rsidR="001C0D62" w:rsidRDefault="001C0D62">
      <w:pPr>
        <w:rPr>
          <w:rFonts w:ascii="Arial" w:hAnsi="Arial" w:cs="Arial"/>
          <w:sz w:val="20"/>
        </w:rPr>
      </w:pPr>
    </w:p>
    <w:p w:rsidR="001C0D62" w:rsidRDefault="001C0D62">
      <w:pPr>
        <w:rPr>
          <w:rFonts w:ascii="Arial" w:hAnsi="Arial" w:cs="Arial"/>
          <w:sz w:val="20"/>
        </w:rPr>
      </w:pPr>
    </w:p>
    <w:p w:rsidR="001C0D62" w:rsidRDefault="001C0D62">
      <w:pPr>
        <w:rPr>
          <w:rFonts w:ascii="Arial" w:hAnsi="Arial" w:cs="Arial"/>
          <w:sz w:val="20"/>
        </w:rPr>
      </w:pPr>
    </w:p>
    <w:p w:rsidR="001C0D62" w:rsidRDefault="001C0D62">
      <w:pPr>
        <w:rPr>
          <w:rFonts w:ascii="Arial" w:hAnsi="Arial" w:cs="Arial"/>
          <w:sz w:val="20"/>
        </w:rPr>
      </w:pPr>
    </w:p>
    <w:p w:rsidR="001C0D62" w:rsidRDefault="001C0D62">
      <w:pPr>
        <w:rPr>
          <w:rFonts w:ascii="Arial" w:hAnsi="Arial" w:cs="Arial"/>
          <w:sz w:val="20"/>
        </w:rPr>
      </w:pPr>
    </w:p>
    <w:p w:rsidR="001C0D62" w:rsidRDefault="001C0D62">
      <w:pPr>
        <w:rPr>
          <w:rFonts w:ascii="Arial" w:hAnsi="Arial" w:cs="Arial"/>
          <w:sz w:val="20"/>
        </w:rPr>
      </w:pPr>
    </w:p>
    <w:p w:rsidR="001C0D62" w:rsidRDefault="001C0D62">
      <w:pPr>
        <w:rPr>
          <w:rFonts w:ascii="Arial" w:hAnsi="Arial" w:cs="Arial"/>
          <w:sz w:val="20"/>
        </w:rPr>
      </w:pPr>
    </w:p>
    <w:p w:rsidR="001C0D62" w:rsidRDefault="001C0D62">
      <w:pPr>
        <w:pStyle w:val="Heading2"/>
      </w:pPr>
      <w:r>
        <w:t>Appendix B</w:t>
      </w:r>
    </w:p>
    <w:p w:rsidR="001C0D62" w:rsidRDefault="001C0D62"/>
    <w:p w:rsidR="001C0D62" w:rsidRDefault="001C0D62">
      <w:pPr>
        <w:jc w:val="center"/>
        <w:rPr>
          <w:rFonts w:ascii="Arial" w:hAnsi="Arial" w:cs="Arial"/>
        </w:rPr>
      </w:pPr>
    </w:p>
    <w:p w:rsidR="001C0D62" w:rsidRDefault="001C0D62">
      <w:pPr>
        <w:jc w:val="center"/>
        <w:rPr>
          <w:rFonts w:ascii="Arial" w:hAnsi="Arial" w:cs="Arial"/>
          <w:b/>
          <w:u w:val="single"/>
        </w:rPr>
      </w:pPr>
      <w:r>
        <w:rPr>
          <w:rFonts w:ascii="Arial" w:hAnsi="Arial" w:cs="Arial"/>
          <w:b/>
          <w:u w:val="single"/>
        </w:rPr>
        <w:t>Permission to carry out research</w:t>
      </w:r>
    </w:p>
    <w:p w:rsidR="001C0D62" w:rsidRDefault="001C0D62">
      <w:pPr>
        <w:rPr>
          <w:rFonts w:ascii="Arial" w:hAnsi="Arial" w:cs="Arial"/>
        </w:rPr>
      </w:pPr>
    </w:p>
    <w:p w:rsidR="001C0D62" w:rsidRDefault="001C0D62">
      <w:pPr>
        <w:rPr>
          <w:rFonts w:ascii="Arial" w:hAnsi="Arial" w:cs="Arial"/>
        </w:rPr>
      </w:pPr>
    </w:p>
    <w:p w:rsidR="001C0D62" w:rsidRDefault="001C0D62">
      <w:pPr>
        <w:jc w:val="both"/>
        <w:rPr>
          <w:rFonts w:ascii="Arial" w:hAnsi="Arial" w:cs="Arial"/>
          <w:sz w:val="22"/>
          <w:szCs w:val="22"/>
          <w:lang w:val="en-GB"/>
        </w:rPr>
      </w:pPr>
      <w:r>
        <w:rPr>
          <w:rFonts w:ascii="Arial" w:hAnsi="Arial" w:cs="Arial"/>
          <w:lang w:val="en-GB"/>
        </w:rPr>
        <w:t>Hi Rebecca,</w:t>
      </w:r>
    </w:p>
    <w:p w:rsidR="001C0D62" w:rsidRDefault="001C0D62">
      <w:pPr>
        <w:jc w:val="both"/>
        <w:rPr>
          <w:rFonts w:ascii="Arial" w:hAnsi="Arial" w:cs="Arial"/>
          <w:sz w:val="22"/>
          <w:szCs w:val="22"/>
          <w:lang w:val="en-GB"/>
        </w:rPr>
      </w:pPr>
      <w:r>
        <w:rPr>
          <w:rFonts w:ascii="Arial" w:hAnsi="Arial" w:cs="Arial"/>
          <w:lang w:val="en-GB"/>
        </w:rPr>
        <w:t> </w:t>
      </w:r>
    </w:p>
    <w:p w:rsidR="001C0D62" w:rsidRDefault="001C0D62">
      <w:pPr>
        <w:jc w:val="both"/>
        <w:rPr>
          <w:rFonts w:ascii="Arial" w:hAnsi="Arial" w:cs="Arial"/>
          <w:sz w:val="22"/>
          <w:szCs w:val="22"/>
          <w:lang w:val="en-GB"/>
        </w:rPr>
      </w:pPr>
      <w:r>
        <w:rPr>
          <w:rFonts w:ascii="Arial" w:hAnsi="Arial" w:cs="Arial"/>
          <w:lang w:val="en-GB"/>
        </w:rPr>
        <w:t xml:space="preserve">I would be happy with you taking this approach at Priestley Clough, however I would be more comfortable with it if I were to accompany you on site in case there are any trees I would prefer to be left untouched. </w:t>
      </w:r>
      <w:r>
        <w:rPr>
          <w:rFonts w:ascii="Arial" w:hAnsi="Arial" w:cs="Arial"/>
          <w:szCs w:val="22"/>
          <w:lang w:val="en-GB"/>
        </w:rPr>
        <w:t>There is no limit on the number of samples… just perhaps on some of the individual trees or exact locations.</w:t>
      </w:r>
    </w:p>
    <w:p w:rsidR="001C0D62" w:rsidRDefault="001C0D62">
      <w:pPr>
        <w:jc w:val="both"/>
        <w:rPr>
          <w:rFonts w:ascii="Arial" w:hAnsi="Arial" w:cs="Arial"/>
          <w:sz w:val="22"/>
          <w:szCs w:val="22"/>
          <w:lang w:val="en-GB"/>
        </w:rPr>
      </w:pPr>
      <w:r>
        <w:rPr>
          <w:rFonts w:ascii="Arial" w:hAnsi="Arial" w:cs="Arial"/>
          <w:lang w:val="en-GB"/>
        </w:rPr>
        <w:t> </w:t>
      </w:r>
    </w:p>
    <w:p w:rsidR="001C0D62" w:rsidRDefault="001C0D62">
      <w:pPr>
        <w:jc w:val="both"/>
        <w:rPr>
          <w:rFonts w:ascii="Arial" w:hAnsi="Arial" w:cs="Arial"/>
          <w:sz w:val="22"/>
          <w:szCs w:val="22"/>
          <w:lang w:val="en-GB"/>
        </w:rPr>
      </w:pPr>
      <w:r>
        <w:rPr>
          <w:rFonts w:ascii="Arial" w:hAnsi="Arial" w:cs="Arial"/>
          <w:lang w:val="en-GB"/>
        </w:rPr>
        <w:t>I work Tuesday-Thursday each week, I'm away on leave for a week from 2nd August. Let me know when would suit you, we can meet at Scaitcliffe House and then walk up the Clough.</w:t>
      </w:r>
    </w:p>
    <w:p w:rsidR="001C0D62" w:rsidRDefault="001C0D62">
      <w:pPr>
        <w:jc w:val="both"/>
        <w:rPr>
          <w:rFonts w:ascii="Arial" w:hAnsi="Arial" w:cs="Arial"/>
          <w:sz w:val="22"/>
          <w:szCs w:val="22"/>
          <w:lang w:val="en-GB"/>
        </w:rPr>
      </w:pPr>
      <w:r>
        <w:rPr>
          <w:rFonts w:ascii="Arial" w:hAnsi="Arial" w:cs="Arial"/>
          <w:lang w:val="en-GB"/>
        </w:rPr>
        <w:t> </w:t>
      </w:r>
    </w:p>
    <w:p w:rsidR="001C0D62" w:rsidRDefault="001C0D62">
      <w:pPr>
        <w:pStyle w:val="Footer"/>
        <w:tabs>
          <w:tab w:val="clear" w:pos="4320"/>
          <w:tab w:val="clear" w:pos="8640"/>
        </w:tabs>
        <w:jc w:val="both"/>
        <w:rPr>
          <w:rFonts w:ascii="Arial" w:hAnsi="Arial" w:cs="Arial"/>
          <w:sz w:val="22"/>
          <w:szCs w:val="22"/>
          <w:lang w:val="en-GB"/>
        </w:rPr>
      </w:pPr>
      <w:r>
        <w:rPr>
          <w:rFonts w:ascii="Arial" w:hAnsi="Arial" w:cs="Arial"/>
          <w:lang w:val="en-GB"/>
        </w:rPr>
        <w:t>Regards,</w:t>
      </w:r>
    </w:p>
    <w:p w:rsidR="001C0D62" w:rsidRDefault="001C0D62">
      <w:pPr>
        <w:jc w:val="both"/>
        <w:rPr>
          <w:rFonts w:ascii="Arial" w:hAnsi="Arial" w:cs="Arial"/>
          <w:sz w:val="22"/>
          <w:szCs w:val="22"/>
          <w:lang w:val="en-GB"/>
        </w:rPr>
      </w:pPr>
      <w:r>
        <w:rPr>
          <w:rFonts w:ascii="Arial" w:hAnsi="Arial" w:cs="Arial"/>
          <w:lang w:val="en-GB"/>
        </w:rPr>
        <w:t> </w:t>
      </w:r>
    </w:p>
    <w:p w:rsidR="001C0D62" w:rsidRDefault="001C0D62">
      <w:pPr>
        <w:jc w:val="both"/>
        <w:rPr>
          <w:rFonts w:ascii="Arial" w:hAnsi="Arial" w:cs="Arial"/>
          <w:color w:val="000000"/>
          <w:lang w:val="en-GB"/>
        </w:rPr>
      </w:pPr>
      <w:r>
        <w:rPr>
          <w:rFonts w:ascii="Arial" w:hAnsi="Arial" w:cs="Arial"/>
          <w:color w:val="000000"/>
          <w:lang w:val="en-GB"/>
        </w:rPr>
        <w:t>Phil Johnson B.A. Hons, Fd.Sc.</w:t>
      </w:r>
    </w:p>
    <w:p w:rsidR="001C0D62" w:rsidRDefault="001C0D62">
      <w:pPr>
        <w:jc w:val="both"/>
        <w:rPr>
          <w:rFonts w:ascii="Arial" w:hAnsi="Arial" w:cs="Arial"/>
          <w:color w:val="000000"/>
          <w:lang w:val="en-GB"/>
        </w:rPr>
      </w:pPr>
      <w:r>
        <w:rPr>
          <w:rFonts w:ascii="Arial" w:hAnsi="Arial" w:cs="Arial"/>
          <w:color w:val="000000"/>
          <w:lang w:val="en-GB"/>
        </w:rPr>
        <w:t>Tree &amp; Woodlands Officer</w:t>
      </w:r>
    </w:p>
    <w:p w:rsidR="001C0D62" w:rsidRDefault="001C0D62">
      <w:pPr>
        <w:jc w:val="both"/>
        <w:rPr>
          <w:rFonts w:ascii="Arial" w:hAnsi="Arial" w:cs="Arial"/>
          <w:color w:val="000000"/>
          <w:lang w:val="en-GB"/>
        </w:rPr>
      </w:pPr>
      <w:r>
        <w:rPr>
          <w:rFonts w:ascii="Arial" w:hAnsi="Arial" w:cs="Arial"/>
          <w:color w:val="000000"/>
          <w:lang w:val="en-GB"/>
        </w:rPr>
        <w:t>Hyndburn B.C.</w:t>
      </w:r>
    </w:p>
    <w:p w:rsidR="001C0D62" w:rsidRDefault="001C0D62">
      <w:pPr>
        <w:jc w:val="both"/>
        <w:rPr>
          <w:rFonts w:ascii="Arial" w:hAnsi="Arial" w:cs="Arial"/>
          <w:szCs w:val="22"/>
          <w:lang w:val="en-GB"/>
        </w:rPr>
      </w:pPr>
      <w:r>
        <w:rPr>
          <w:rFonts w:ascii="Arial" w:hAnsi="Arial" w:cs="Arial"/>
          <w:szCs w:val="22"/>
          <w:lang w:val="en-GB"/>
        </w:rPr>
        <w:t>PhilipJohnson@hyndburnbc.gov.uk</w:t>
      </w:r>
    </w:p>
    <w:p w:rsidR="001C0D62" w:rsidRDefault="001C0D62">
      <w:pPr>
        <w:pStyle w:val="Footer"/>
        <w:tabs>
          <w:tab w:val="clear" w:pos="4320"/>
          <w:tab w:val="clear" w:pos="8640"/>
        </w:tabs>
        <w:rPr>
          <w:rFonts w:ascii="Arial" w:hAnsi="Arial" w:cs="Arial"/>
        </w:rPr>
      </w:pPr>
    </w:p>
    <w:p w:rsidR="001C0D62" w:rsidRDefault="001C0D62">
      <w:pPr>
        <w:rPr>
          <w:rFonts w:ascii="Arial" w:hAnsi="Arial" w:cs="Arial"/>
          <w:szCs w:val="27"/>
          <w:lang w:val="en-GB"/>
        </w:rPr>
      </w:pP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jc w:val="center"/>
        <w:rPr>
          <w:rFonts w:ascii="Arial" w:hAnsi="Arial" w:cs="Arial"/>
          <w:b/>
          <w:bCs/>
          <w:sz w:val="32"/>
          <w:u w:val="single"/>
        </w:rPr>
      </w:pPr>
      <w:r>
        <w:rPr>
          <w:rFonts w:ascii="Arial" w:hAnsi="Arial" w:cs="Arial"/>
          <w:b/>
          <w:bCs/>
          <w:sz w:val="32"/>
          <w:u w:val="single"/>
        </w:rPr>
        <w:t>Appendix C</w:t>
      </w:r>
    </w:p>
    <w:p w:rsidR="001C0D62" w:rsidRDefault="001C0D62">
      <w:pPr>
        <w:pStyle w:val="Footer"/>
        <w:tabs>
          <w:tab w:val="clear" w:pos="4320"/>
          <w:tab w:val="clear" w:pos="8640"/>
        </w:tabs>
        <w:rPr>
          <w:rFonts w:ascii="Arial" w:hAnsi="Arial" w:cs="Arial"/>
        </w:rPr>
      </w:pPr>
    </w:p>
    <w:p w:rsidR="001C0D62" w:rsidRDefault="001C0D62">
      <w:pPr>
        <w:pStyle w:val="BodyText2"/>
        <w:jc w:val="center"/>
        <w:rPr>
          <w:b/>
          <w:u w:val="single"/>
          <w:lang w:val="en-GB"/>
        </w:rPr>
      </w:pPr>
      <w:r>
        <w:rPr>
          <w:b/>
          <w:u w:val="single"/>
          <w:lang w:val="en-GB"/>
        </w:rPr>
        <w:t>How to set up an increment borer</w:t>
      </w:r>
    </w:p>
    <w:p w:rsidR="001C0D62" w:rsidRDefault="001C0D62">
      <w:pPr>
        <w:pStyle w:val="BodyText2"/>
        <w:rPr>
          <w:lang w:val="en-GB"/>
        </w:rPr>
      </w:pPr>
    </w:p>
    <w:p w:rsidR="001C0D62" w:rsidRDefault="001C0D62">
      <w:pPr>
        <w:pStyle w:val="BodyText2"/>
        <w:rPr>
          <w:lang w:val="en-GB"/>
        </w:rPr>
      </w:pPr>
      <w:r>
        <w:rPr>
          <w:lang w:val="en-GB"/>
        </w:rPr>
        <w:t>The following points along with figures 3.3 and 3.4 explain how to set up an increment borer</w:t>
      </w:r>
    </w:p>
    <w:p w:rsidR="001C0D62" w:rsidRDefault="001C0D62">
      <w:pPr>
        <w:numPr>
          <w:ilvl w:val="0"/>
          <w:numId w:val="26"/>
        </w:numPr>
        <w:jc w:val="both"/>
        <w:rPr>
          <w:rFonts w:ascii="Arial" w:hAnsi="Arial" w:cs="Arial"/>
          <w:lang w:val="en-GB"/>
        </w:rPr>
      </w:pPr>
      <w:r>
        <w:rPr>
          <w:rFonts w:ascii="Arial" w:hAnsi="Arial" w:cs="Arial"/>
          <w:lang w:val="en-GB"/>
        </w:rPr>
        <w:t>The borer consists of three parts: the auger (A), the handle (B) and the extractor/spoon (C). A1 represents the threaded part of the borer, which enables coring into the trees, A2 is the shaft and A3 is the squared end, which fastens to the handle. The central part of the handle (B1) is the clip/fastening used to keep the auger in place. The extractor/spoon tip (C1) is used to grasp the core when it has been inserted into the auger, with the core then sitting on C2 and the threaded cap, which can be used as a small handle (C3).</w:t>
      </w:r>
    </w:p>
    <w:p w:rsidR="001C0D62" w:rsidRDefault="001C0D62">
      <w:pPr>
        <w:numPr>
          <w:ilvl w:val="0"/>
          <w:numId w:val="26"/>
        </w:numPr>
        <w:jc w:val="both"/>
        <w:rPr>
          <w:rFonts w:ascii="Arial" w:hAnsi="Arial" w:cs="Arial"/>
          <w:lang w:val="en-GB"/>
        </w:rPr>
      </w:pPr>
      <w:r>
        <w:rPr>
          <w:rFonts w:ascii="Arial" w:hAnsi="Arial" w:cs="Arial"/>
          <w:lang w:val="en-GB"/>
        </w:rPr>
        <w:t>Select the end of the auger (A3) and place into the hole in the middle of the handle (B). Close the fastening (B1).</w:t>
      </w:r>
    </w:p>
    <w:p w:rsidR="001C0D62" w:rsidRDefault="001C0D62">
      <w:pPr>
        <w:numPr>
          <w:ilvl w:val="0"/>
          <w:numId w:val="26"/>
        </w:numPr>
        <w:jc w:val="both"/>
        <w:rPr>
          <w:rFonts w:ascii="Arial" w:hAnsi="Arial" w:cs="Arial"/>
        </w:rPr>
      </w:pPr>
      <w:r>
        <w:rPr>
          <w:rFonts w:ascii="Arial" w:hAnsi="Arial" w:cs="Arial"/>
          <w:lang w:val="en-GB"/>
        </w:rPr>
        <w:t>Once the borer has been inserted into a tree to the relevant depth place the tip of the spoon (C1) into the end of the borer (A3). Once the core is secure on the spoon it may then be extracted.</w:t>
      </w:r>
    </w:p>
    <w:p w:rsidR="001C0D62" w:rsidRDefault="001C0D62">
      <w:pPr>
        <w:jc w:val="both"/>
        <w:rPr>
          <w:rFonts w:ascii="Arial" w:hAnsi="Arial" w:cs="Arial"/>
        </w:rPr>
      </w:pPr>
    </w:p>
    <w:p w:rsidR="001C0D62" w:rsidRDefault="001C0D62">
      <w:pPr>
        <w:jc w:val="both"/>
        <w:rPr>
          <w:rFonts w:ascii="Arial" w:hAnsi="Arial" w:cs="Arial"/>
          <w:lang w:val="en-GB"/>
        </w:rPr>
      </w:pPr>
    </w:p>
    <w:p w:rsidR="001C0D62" w:rsidRDefault="001C0D62">
      <w:pPr>
        <w:pStyle w:val="Heading5"/>
        <w:jc w:val="center"/>
        <w:rPr>
          <w:b/>
          <w:bCs/>
        </w:rPr>
      </w:pPr>
      <w:r>
        <w:rPr>
          <w:b/>
          <w:bCs/>
        </w:rPr>
        <w:t>Figure 3.2: The components that make up an increment borer</w:t>
      </w:r>
    </w:p>
    <w:p w:rsidR="001C0D62" w:rsidRDefault="001C0D62">
      <w:pPr>
        <w:jc w:val="center"/>
        <w:rPr>
          <w:rFonts w:ascii="Arial" w:hAnsi="Arial" w:cs="Arial"/>
        </w:rPr>
      </w:pPr>
      <w:r>
        <w:object w:dxaOrig="12359" w:dyaOrig="9270">
          <v:shape id="_x0000_i1058" type="#_x0000_t75" style="width:276pt;height:134pt" o:ole="">
            <v:imagedata r:id="rId89" o:title="" croptop="19216f" cropbottom="3439f" blacklevel="3932f"/>
          </v:shape>
          <o:OLEObject Type="Embed" ProgID="PBrush" ShapeID="_x0000_i1058" DrawAspect="Content" ObjectID="_1432030849" r:id="rId90"/>
        </w:object>
      </w:r>
    </w:p>
    <w:p w:rsidR="001C0D62" w:rsidRDefault="001C0D62">
      <w:pPr>
        <w:jc w:val="center"/>
        <w:rPr>
          <w:rFonts w:ascii="Arial" w:hAnsi="Arial" w:cs="Arial"/>
          <w:sz w:val="22"/>
        </w:rPr>
      </w:pPr>
      <w:r>
        <w:t xml:space="preserve">                                                       </w:t>
      </w:r>
      <w:r>
        <w:rPr>
          <w:rFonts w:ascii="Arial" w:hAnsi="Arial" w:cs="Arial"/>
          <w:sz w:val="22"/>
        </w:rPr>
        <w:t>(Author’s own)</w:t>
      </w:r>
    </w:p>
    <w:p w:rsidR="001C0D62" w:rsidRDefault="001C0D62">
      <w:pPr>
        <w:jc w:val="right"/>
        <w:rPr>
          <w:rFonts w:ascii="Arial" w:hAnsi="Arial" w:cs="Arial"/>
        </w:rPr>
      </w:pPr>
    </w:p>
    <w:p w:rsidR="001C0D62" w:rsidRDefault="001C0D62">
      <w:pPr>
        <w:pStyle w:val="Heading4"/>
        <w:jc w:val="center"/>
        <w:rPr>
          <w:b/>
          <w:bCs/>
          <w:sz w:val="24"/>
        </w:rPr>
      </w:pPr>
      <w:r>
        <w:rPr>
          <w:b/>
          <w:bCs/>
          <w:sz w:val="24"/>
        </w:rPr>
        <w:t>Figure 3.3: A constructed increment borer</w:t>
      </w:r>
    </w:p>
    <w:p w:rsidR="001C0D62" w:rsidRDefault="001C0D62">
      <w:pPr>
        <w:jc w:val="center"/>
      </w:pPr>
      <w:r>
        <w:object w:dxaOrig="12359" w:dyaOrig="9270">
          <v:shape id="_x0000_i1059" type="#_x0000_t75" style="width:187pt;height:149pt" o:ole="">
            <v:imagedata r:id="rId91" o:title="" croptop="9102f" cropleft="5461f" cropright="6826f" blacklevel="3932f"/>
          </v:shape>
          <o:OLEObject Type="Embed" ProgID="PBrush" ShapeID="_x0000_i1059" DrawAspect="Content" ObjectID="_1432030850" r:id="rId92"/>
        </w:object>
      </w:r>
    </w:p>
    <w:p w:rsidR="001C0D62" w:rsidRDefault="001C0D62">
      <w:pPr>
        <w:jc w:val="center"/>
        <w:rPr>
          <w:rFonts w:ascii="Arial" w:hAnsi="Arial" w:cs="Arial"/>
          <w:sz w:val="22"/>
        </w:rPr>
      </w:pPr>
      <w:r>
        <w:rPr>
          <w:rFonts w:ascii="Arial" w:hAnsi="Arial" w:cs="Arial"/>
          <w:sz w:val="22"/>
        </w:rPr>
        <w:t xml:space="preserve">                           (Author’s own)</w:t>
      </w:r>
    </w:p>
    <w:p w:rsidR="001C0D62" w:rsidRDefault="001C0D62">
      <w:pPr>
        <w:jc w:val="center"/>
        <w:rPr>
          <w:rFonts w:ascii="Arial" w:hAnsi="Arial" w:cs="Arial"/>
          <w:sz w:val="22"/>
        </w:rPr>
      </w:pPr>
      <w:r>
        <w:rPr>
          <w:rFonts w:ascii="Arial" w:hAnsi="Arial" w:cs="Arial"/>
          <w:b/>
          <w:bCs/>
          <w:sz w:val="32"/>
          <w:u w:val="single"/>
        </w:rPr>
        <w:t>Appendix D</w:t>
      </w:r>
    </w:p>
    <w:p w:rsidR="001C0D62" w:rsidRDefault="001C0D62">
      <w:pPr>
        <w:pStyle w:val="Footer"/>
        <w:tabs>
          <w:tab w:val="clear" w:pos="4320"/>
          <w:tab w:val="clear" w:pos="8640"/>
        </w:tabs>
        <w:jc w:val="center"/>
        <w:rPr>
          <w:rFonts w:ascii="Arial" w:hAnsi="Arial" w:cs="Arial"/>
          <w:b/>
          <w:bCs/>
          <w:sz w:val="26"/>
          <w:u w:val="single"/>
        </w:rPr>
      </w:pPr>
    </w:p>
    <w:p w:rsidR="001C0D62" w:rsidRDefault="001C0D62">
      <w:pPr>
        <w:pStyle w:val="Footer"/>
        <w:tabs>
          <w:tab w:val="clear" w:pos="4320"/>
          <w:tab w:val="clear" w:pos="8640"/>
        </w:tabs>
        <w:jc w:val="center"/>
        <w:rPr>
          <w:rFonts w:ascii="Arial" w:hAnsi="Arial" w:cs="Arial"/>
          <w:b/>
          <w:bCs/>
          <w:u w:val="single"/>
        </w:rPr>
      </w:pPr>
      <w:r>
        <w:rPr>
          <w:rFonts w:ascii="Arial" w:hAnsi="Arial" w:cs="Arial"/>
          <w:b/>
          <w:bCs/>
          <w:u w:val="single"/>
        </w:rPr>
        <w:t xml:space="preserve">Raw ring width data for this study </w:t>
      </w:r>
    </w:p>
    <w:p w:rsidR="001C0D62" w:rsidRDefault="001C0D62">
      <w:pPr>
        <w:pStyle w:val="Footer"/>
        <w:tabs>
          <w:tab w:val="clear" w:pos="4320"/>
          <w:tab w:val="clear" w:pos="8640"/>
        </w:tabs>
        <w:rPr>
          <w:rFonts w:ascii="Arial" w:hAnsi="Arial" w:cs="Arial"/>
          <w:sz w:val="16"/>
          <w:szCs w:val="16"/>
        </w:rPr>
      </w:pPr>
    </w:p>
    <w:p w:rsidR="001C0D62" w:rsidRDefault="001C0D62">
      <w:pPr>
        <w:pStyle w:val="Footer"/>
        <w:tabs>
          <w:tab w:val="clear" w:pos="4320"/>
          <w:tab w:val="clear" w:pos="8640"/>
        </w:tabs>
        <w:rPr>
          <w:rFonts w:ascii="Arial" w:hAnsi="Arial" w:cs="Arial"/>
          <w:sz w:val="23"/>
          <w:szCs w:val="23"/>
        </w:rPr>
      </w:pPr>
      <w:r>
        <w:rPr>
          <w:rFonts w:ascii="Arial" w:hAnsi="Arial" w:cs="Arial"/>
          <w:b/>
          <w:bCs/>
          <w:sz w:val="23"/>
          <w:szCs w:val="23"/>
        </w:rPr>
        <w:t>Table 1</w:t>
      </w:r>
      <w:r>
        <w:rPr>
          <w:rFonts w:ascii="Arial" w:hAnsi="Arial" w:cs="Arial"/>
          <w:sz w:val="23"/>
          <w:szCs w:val="23"/>
        </w:rPr>
        <w:t>: shows the average annual ring width measurements of 50 samples for Sycamore, Beech and Oak, spanning a period of 40 years (1972-2012).</w:t>
      </w:r>
    </w:p>
    <w:p w:rsidR="001C0D62" w:rsidRDefault="001C0D62">
      <w:pPr>
        <w:pStyle w:val="Footer"/>
        <w:tabs>
          <w:tab w:val="clear" w:pos="4320"/>
          <w:tab w:val="clear" w:pos="8640"/>
        </w:tabs>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8"/>
        <w:gridCol w:w="2520"/>
        <w:gridCol w:w="2520"/>
        <w:gridCol w:w="2520"/>
      </w:tblGrid>
      <w:tr w:rsidR="001C0D62">
        <w:tblPrEx>
          <w:tblCellMar>
            <w:top w:w="0" w:type="dxa"/>
            <w:bottom w:w="0" w:type="dxa"/>
          </w:tblCellMar>
        </w:tblPrEx>
        <w:tc>
          <w:tcPr>
            <w:tcW w:w="1188" w:type="dxa"/>
          </w:tcPr>
          <w:p w:rsidR="001C0D62" w:rsidRDefault="001C0D62">
            <w:pPr>
              <w:pStyle w:val="Heading1"/>
              <w:rPr>
                <w:sz w:val="20"/>
                <w:szCs w:val="20"/>
                <w:u w:val="none"/>
              </w:rPr>
            </w:pPr>
            <w:r>
              <w:rPr>
                <w:sz w:val="20"/>
                <w:szCs w:val="20"/>
                <w:u w:val="none"/>
              </w:rPr>
              <w:t>Year</w:t>
            </w:r>
          </w:p>
        </w:tc>
        <w:tc>
          <w:tcPr>
            <w:tcW w:w="2520" w:type="dxa"/>
          </w:tcPr>
          <w:p w:rsidR="001C0D62" w:rsidRDefault="001C0D62">
            <w:pPr>
              <w:jc w:val="center"/>
              <w:rPr>
                <w:rFonts w:ascii="Arial" w:hAnsi="Arial" w:cs="Arial"/>
                <w:b/>
                <w:bCs/>
                <w:sz w:val="20"/>
                <w:szCs w:val="20"/>
              </w:rPr>
            </w:pPr>
            <w:r>
              <w:rPr>
                <w:rFonts w:ascii="Arial" w:hAnsi="Arial" w:cs="Arial"/>
                <w:b/>
                <w:bCs/>
                <w:sz w:val="20"/>
                <w:szCs w:val="20"/>
              </w:rPr>
              <w:t>Average Sycamore ring widths (mm)</w:t>
            </w:r>
          </w:p>
        </w:tc>
        <w:tc>
          <w:tcPr>
            <w:tcW w:w="2520" w:type="dxa"/>
          </w:tcPr>
          <w:p w:rsidR="001C0D62" w:rsidRDefault="001C0D62">
            <w:pPr>
              <w:jc w:val="center"/>
              <w:rPr>
                <w:rFonts w:ascii="Arial" w:hAnsi="Arial" w:cs="Arial"/>
                <w:b/>
                <w:bCs/>
                <w:sz w:val="20"/>
                <w:szCs w:val="20"/>
              </w:rPr>
            </w:pPr>
            <w:r>
              <w:rPr>
                <w:rFonts w:ascii="Arial" w:hAnsi="Arial" w:cs="Arial"/>
                <w:b/>
                <w:bCs/>
                <w:sz w:val="20"/>
                <w:szCs w:val="20"/>
              </w:rPr>
              <w:t>Average Beech ring widths (mm)</w:t>
            </w:r>
          </w:p>
        </w:tc>
        <w:tc>
          <w:tcPr>
            <w:tcW w:w="2520" w:type="dxa"/>
          </w:tcPr>
          <w:p w:rsidR="001C0D62" w:rsidRDefault="001C0D62">
            <w:pPr>
              <w:jc w:val="center"/>
              <w:rPr>
                <w:rFonts w:ascii="Arial" w:hAnsi="Arial" w:cs="Arial"/>
                <w:b/>
                <w:bCs/>
                <w:sz w:val="20"/>
                <w:szCs w:val="20"/>
              </w:rPr>
            </w:pPr>
            <w:r>
              <w:rPr>
                <w:rFonts w:ascii="Arial" w:hAnsi="Arial" w:cs="Arial"/>
                <w:b/>
                <w:bCs/>
                <w:sz w:val="20"/>
                <w:szCs w:val="20"/>
              </w:rPr>
              <w:t>Average Oak ring widths (mm)</w:t>
            </w:r>
          </w:p>
        </w:tc>
      </w:tr>
      <w:tr w:rsidR="001C0D62">
        <w:tblPrEx>
          <w:tblCellMar>
            <w:top w:w="0" w:type="dxa"/>
            <w:bottom w:w="0" w:type="dxa"/>
          </w:tblCellMar>
        </w:tblPrEx>
        <w:tc>
          <w:tcPr>
            <w:tcW w:w="1188" w:type="dxa"/>
          </w:tcPr>
          <w:p w:rsidR="001C0D62" w:rsidRDefault="001C0D62">
            <w:pPr>
              <w:jc w:val="center"/>
              <w:rPr>
                <w:rFonts w:ascii="Arial" w:hAnsi="Arial" w:cs="Arial"/>
                <w:sz w:val="21"/>
                <w:szCs w:val="21"/>
              </w:rPr>
            </w:pPr>
            <w:r>
              <w:rPr>
                <w:rFonts w:ascii="Arial" w:hAnsi="Arial" w:cs="Arial"/>
                <w:sz w:val="21"/>
                <w:szCs w:val="21"/>
              </w:rPr>
              <w:t>1972</w:t>
            </w:r>
          </w:p>
        </w:tc>
        <w:tc>
          <w:tcPr>
            <w:tcW w:w="2520" w:type="dxa"/>
          </w:tcPr>
          <w:p w:rsidR="001C0D62" w:rsidRDefault="001C0D62">
            <w:pPr>
              <w:jc w:val="center"/>
              <w:rPr>
                <w:rFonts w:ascii="Arial" w:hAnsi="Arial" w:cs="Arial"/>
                <w:sz w:val="21"/>
                <w:szCs w:val="21"/>
              </w:rPr>
            </w:pPr>
            <w:r>
              <w:rPr>
                <w:rFonts w:ascii="Arial" w:hAnsi="Arial" w:cs="Arial"/>
                <w:sz w:val="21"/>
                <w:szCs w:val="21"/>
              </w:rPr>
              <w:t>1.64</w:t>
            </w:r>
          </w:p>
        </w:tc>
        <w:tc>
          <w:tcPr>
            <w:tcW w:w="2520" w:type="dxa"/>
          </w:tcPr>
          <w:p w:rsidR="001C0D62" w:rsidRDefault="001C0D62">
            <w:pPr>
              <w:jc w:val="center"/>
              <w:rPr>
                <w:rFonts w:ascii="Arial" w:hAnsi="Arial" w:cs="Arial"/>
                <w:sz w:val="21"/>
                <w:szCs w:val="21"/>
              </w:rPr>
            </w:pPr>
            <w:r>
              <w:rPr>
                <w:rFonts w:ascii="Arial" w:hAnsi="Arial" w:cs="Arial"/>
                <w:sz w:val="21"/>
                <w:szCs w:val="21"/>
              </w:rPr>
              <w:t>2.05</w:t>
            </w:r>
          </w:p>
        </w:tc>
        <w:tc>
          <w:tcPr>
            <w:tcW w:w="2520" w:type="dxa"/>
          </w:tcPr>
          <w:p w:rsidR="001C0D62" w:rsidRDefault="001C0D62">
            <w:pPr>
              <w:jc w:val="center"/>
              <w:rPr>
                <w:rFonts w:ascii="Arial" w:hAnsi="Arial" w:cs="Arial"/>
                <w:sz w:val="21"/>
                <w:szCs w:val="21"/>
              </w:rPr>
            </w:pPr>
            <w:r>
              <w:rPr>
                <w:rFonts w:ascii="Arial" w:hAnsi="Arial" w:cs="Arial"/>
                <w:sz w:val="21"/>
                <w:szCs w:val="21"/>
              </w:rPr>
              <w:t>1.84</w:t>
            </w:r>
          </w:p>
        </w:tc>
      </w:tr>
      <w:tr w:rsidR="001C0D62">
        <w:tblPrEx>
          <w:tblCellMar>
            <w:top w:w="0" w:type="dxa"/>
            <w:bottom w:w="0" w:type="dxa"/>
          </w:tblCellMar>
        </w:tblPrEx>
        <w:tc>
          <w:tcPr>
            <w:tcW w:w="1188" w:type="dxa"/>
          </w:tcPr>
          <w:p w:rsidR="001C0D62" w:rsidRDefault="001C0D62">
            <w:pPr>
              <w:jc w:val="center"/>
              <w:rPr>
                <w:rFonts w:ascii="Arial" w:hAnsi="Arial" w:cs="Arial"/>
                <w:sz w:val="21"/>
                <w:szCs w:val="21"/>
              </w:rPr>
            </w:pPr>
            <w:r>
              <w:rPr>
                <w:rFonts w:ascii="Arial" w:hAnsi="Arial" w:cs="Arial"/>
                <w:sz w:val="21"/>
                <w:szCs w:val="21"/>
              </w:rPr>
              <w:t>1973</w:t>
            </w:r>
          </w:p>
        </w:tc>
        <w:tc>
          <w:tcPr>
            <w:tcW w:w="2520" w:type="dxa"/>
          </w:tcPr>
          <w:p w:rsidR="001C0D62" w:rsidRDefault="001C0D62">
            <w:pPr>
              <w:jc w:val="center"/>
              <w:rPr>
                <w:rFonts w:ascii="Arial" w:hAnsi="Arial" w:cs="Arial"/>
                <w:sz w:val="21"/>
                <w:szCs w:val="21"/>
              </w:rPr>
            </w:pPr>
            <w:r>
              <w:rPr>
                <w:rFonts w:ascii="Arial" w:hAnsi="Arial" w:cs="Arial"/>
                <w:sz w:val="21"/>
                <w:szCs w:val="21"/>
              </w:rPr>
              <w:t>1.75</w:t>
            </w:r>
          </w:p>
        </w:tc>
        <w:tc>
          <w:tcPr>
            <w:tcW w:w="2520" w:type="dxa"/>
          </w:tcPr>
          <w:p w:rsidR="001C0D62" w:rsidRDefault="001C0D62">
            <w:pPr>
              <w:jc w:val="center"/>
              <w:rPr>
                <w:rFonts w:ascii="Arial" w:hAnsi="Arial" w:cs="Arial"/>
                <w:sz w:val="21"/>
                <w:szCs w:val="21"/>
              </w:rPr>
            </w:pPr>
            <w:r>
              <w:rPr>
                <w:rFonts w:ascii="Arial" w:hAnsi="Arial" w:cs="Arial"/>
                <w:sz w:val="21"/>
                <w:szCs w:val="21"/>
              </w:rPr>
              <w:t>2.39</w:t>
            </w:r>
          </w:p>
        </w:tc>
        <w:tc>
          <w:tcPr>
            <w:tcW w:w="2520" w:type="dxa"/>
          </w:tcPr>
          <w:p w:rsidR="001C0D62" w:rsidRDefault="001C0D62">
            <w:pPr>
              <w:jc w:val="center"/>
              <w:rPr>
                <w:rFonts w:ascii="Arial" w:hAnsi="Arial" w:cs="Arial"/>
                <w:sz w:val="21"/>
                <w:szCs w:val="21"/>
              </w:rPr>
            </w:pPr>
            <w:r>
              <w:rPr>
                <w:rFonts w:ascii="Arial" w:hAnsi="Arial" w:cs="Arial"/>
                <w:sz w:val="21"/>
                <w:szCs w:val="21"/>
              </w:rPr>
              <w:t>1.85</w:t>
            </w:r>
          </w:p>
        </w:tc>
      </w:tr>
      <w:tr w:rsidR="001C0D62">
        <w:tblPrEx>
          <w:tblCellMar>
            <w:top w:w="0" w:type="dxa"/>
            <w:bottom w:w="0" w:type="dxa"/>
          </w:tblCellMar>
        </w:tblPrEx>
        <w:tc>
          <w:tcPr>
            <w:tcW w:w="1188" w:type="dxa"/>
          </w:tcPr>
          <w:p w:rsidR="001C0D62" w:rsidRDefault="001C0D62">
            <w:pPr>
              <w:jc w:val="center"/>
              <w:rPr>
                <w:rFonts w:ascii="Arial" w:hAnsi="Arial" w:cs="Arial"/>
                <w:sz w:val="21"/>
                <w:szCs w:val="21"/>
              </w:rPr>
            </w:pPr>
            <w:r>
              <w:rPr>
                <w:rFonts w:ascii="Arial" w:hAnsi="Arial" w:cs="Arial"/>
                <w:sz w:val="21"/>
                <w:szCs w:val="21"/>
              </w:rPr>
              <w:t>1974</w:t>
            </w:r>
          </w:p>
        </w:tc>
        <w:tc>
          <w:tcPr>
            <w:tcW w:w="2520" w:type="dxa"/>
          </w:tcPr>
          <w:p w:rsidR="001C0D62" w:rsidRDefault="001C0D62">
            <w:pPr>
              <w:jc w:val="center"/>
              <w:rPr>
                <w:rFonts w:ascii="Arial" w:hAnsi="Arial" w:cs="Arial"/>
                <w:sz w:val="21"/>
                <w:szCs w:val="21"/>
              </w:rPr>
            </w:pPr>
            <w:r>
              <w:rPr>
                <w:rFonts w:ascii="Arial" w:hAnsi="Arial" w:cs="Arial"/>
                <w:sz w:val="21"/>
                <w:szCs w:val="21"/>
              </w:rPr>
              <w:t>1.63</w:t>
            </w:r>
          </w:p>
        </w:tc>
        <w:tc>
          <w:tcPr>
            <w:tcW w:w="2520" w:type="dxa"/>
          </w:tcPr>
          <w:p w:rsidR="001C0D62" w:rsidRDefault="001C0D62">
            <w:pPr>
              <w:jc w:val="center"/>
              <w:rPr>
                <w:rFonts w:ascii="Arial" w:hAnsi="Arial" w:cs="Arial"/>
                <w:sz w:val="21"/>
                <w:szCs w:val="21"/>
              </w:rPr>
            </w:pPr>
            <w:r>
              <w:rPr>
                <w:rFonts w:ascii="Arial" w:hAnsi="Arial" w:cs="Arial"/>
                <w:sz w:val="21"/>
                <w:szCs w:val="21"/>
              </w:rPr>
              <w:t>2.18</w:t>
            </w:r>
          </w:p>
        </w:tc>
        <w:tc>
          <w:tcPr>
            <w:tcW w:w="2520" w:type="dxa"/>
          </w:tcPr>
          <w:p w:rsidR="001C0D62" w:rsidRDefault="001C0D62">
            <w:pPr>
              <w:jc w:val="center"/>
              <w:rPr>
                <w:rFonts w:ascii="Arial" w:hAnsi="Arial" w:cs="Arial"/>
                <w:sz w:val="21"/>
                <w:szCs w:val="21"/>
              </w:rPr>
            </w:pPr>
            <w:r>
              <w:rPr>
                <w:rFonts w:ascii="Arial" w:hAnsi="Arial" w:cs="Arial"/>
                <w:sz w:val="21"/>
                <w:szCs w:val="21"/>
              </w:rPr>
              <w:t>1.78</w:t>
            </w:r>
          </w:p>
        </w:tc>
      </w:tr>
      <w:tr w:rsidR="001C0D62">
        <w:tblPrEx>
          <w:tblCellMar>
            <w:top w:w="0" w:type="dxa"/>
            <w:bottom w:w="0" w:type="dxa"/>
          </w:tblCellMar>
        </w:tblPrEx>
        <w:tc>
          <w:tcPr>
            <w:tcW w:w="1188" w:type="dxa"/>
          </w:tcPr>
          <w:p w:rsidR="001C0D62" w:rsidRDefault="001C0D62">
            <w:pPr>
              <w:jc w:val="center"/>
              <w:rPr>
                <w:rFonts w:ascii="Arial" w:hAnsi="Arial" w:cs="Arial"/>
                <w:sz w:val="21"/>
                <w:szCs w:val="21"/>
              </w:rPr>
            </w:pPr>
            <w:r>
              <w:rPr>
                <w:rFonts w:ascii="Arial" w:hAnsi="Arial" w:cs="Arial"/>
                <w:sz w:val="21"/>
                <w:szCs w:val="21"/>
              </w:rPr>
              <w:t>1975</w:t>
            </w:r>
          </w:p>
        </w:tc>
        <w:tc>
          <w:tcPr>
            <w:tcW w:w="2520" w:type="dxa"/>
          </w:tcPr>
          <w:p w:rsidR="001C0D62" w:rsidRDefault="001C0D62">
            <w:pPr>
              <w:jc w:val="center"/>
              <w:rPr>
                <w:rFonts w:ascii="Arial" w:hAnsi="Arial" w:cs="Arial"/>
                <w:sz w:val="21"/>
                <w:szCs w:val="21"/>
              </w:rPr>
            </w:pPr>
            <w:r>
              <w:rPr>
                <w:rFonts w:ascii="Arial" w:hAnsi="Arial" w:cs="Arial"/>
                <w:sz w:val="21"/>
                <w:szCs w:val="21"/>
              </w:rPr>
              <w:t>1.64</w:t>
            </w:r>
          </w:p>
        </w:tc>
        <w:tc>
          <w:tcPr>
            <w:tcW w:w="2520" w:type="dxa"/>
          </w:tcPr>
          <w:p w:rsidR="001C0D62" w:rsidRDefault="001C0D62">
            <w:pPr>
              <w:jc w:val="center"/>
              <w:rPr>
                <w:rFonts w:ascii="Arial" w:hAnsi="Arial" w:cs="Arial"/>
                <w:sz w:val="21"/>
                <w:szCs w:val="21"/>
              </w:rPr>
            </w:pPr>
            <w:r>
              <w:rPr>
                <w:rFonts w:ascii="Arial" w:hAnsi="Arial" w:cs="Arial"/>
                <w:sz w:val="21"/>
                <w:szCs w:val="21"/>
              </w:rPr>
              <w:t>2.22</w:t>
            </w:r>
          </w:p>
        </w:tc>
        <w:tc>
          <w:tcPr>
            <w:tcW w:w="2520" w:type="dxa"/>
          </w:tcPr>
          <w:p w:rsidR="001C0D62" w:rsidRDefault="001C0D62">
            <w:pPr>
              <w:jc w:val="center"/>
              <w:rPr>
                <w:rFonts w:ascii="Arial" w:hAnsi="Arial" w:cs="Arial"/>
                <w:sz w:val="21"/>
                <w:szCs w:val="21"/>
              </w:rPr>
            </w:pPr>
            <w:r>
              <w:rPr>
                <w:rFonts w:ascii="Arial" w:hAnsi="Arial" w:cs="Arial"/>
                <w:sz w:val="21"/>
                <w:szCs w:val="21"/>
              </w:rPr>
              <w:t>1.76</w:t>
            </w:r>
          </w:p>
        </w:tc>
      </w:tr>
      <w:tr w:rsidR="001C0D62">
        <w:tblPrEx>
          <w:tblCellMar>
            <w:top w:w="0" w:type="dxa"/>
            <w:bottom w:w="0" w:type="dxa"/>
          </w:tblCellMar>
        </w:tblPrEx>
        <w:tc>
          <w:tcPr>
            <w:tcW w:w="1188" w:type="dxa"/>
          </w:tcPr>
          <w:p w:rsidR="001C0D62" w:rsidRDefault="001C0D62">
            <w:pPr>
              <w:jc w:val="center"/>
              <w:rPr>
                <w:rFonts w:ascii="Arial" w:hAnsi="Arial" w:cs="Arial"/>
                <w:sz w:val="21"/>
                <w:szCs w:val="21"/>
              </w:rPr>
            </w:pPr>
            <w:r>
              <w:rPr>
                <w:rFonts w:ascii="Arial" w:hAnsi="Arial" w:cs="Arial"/>
                <w:sz w:val="21"/>
                <w:szCs w:val="21"/>
              </w:rPr>
              <w:t>1976</w:t>
            </w:r>
          </w:p>
        </w:tc>
        <w:tc>
          <w:tcPr>
            <w:tcW w:w="2520" w:type="dxa"/>
          </w:tcPr>
          <w:p w:rsidR="001C0D62" w:rsidRDefault="001C0D62">
            <w:pPr>
              <w:jc w:val="center"/>
              <w:rPr>
                <w:rFonts w:ascii="Arial" w:hAnsi="Arial" w:cs="Arial"/>
                <w:sz w:val="21"/>
                <w:szCs w:val="21"/>
              </w:rPr>
            </w:pPr>
            <w:r>
              <w:rPr>
                <w:rFonts w:ascii="Arial" w:hAnsi="Arial" w:cs="Arial"/>
                <w:sz w:val="21"/>
                <w:szCs w:val="21"/>
              </w:rPr>
              <w:t>1.66</w:t>
            </w:r>
          </w:p>
        </w:tc>
        <w:tc>
          <w:tcPr>
            <w:tcW w:w="2520" w:type="dxa"/>
          </w:tcPr>
          <w:p w:rsidR="001C0D62" w:rsidRDefault="001C0D62">
            <w:pPr>
              <w:jc w:val="center"/>
              <w:rPr>
                <w:rFonts w:ascii="Arial" w:hAnsi="Arial" w:cs="Arial"/>
                <w:sz w:val="21"/>
                <w:szCs w:val="21"/>
              </w:rPr>
            </w:pPr>
            <w:r>
              <w:rPr>
                <w:rFonts w:ascii="Arial" w:hAnsi="Arial" w:cs="Arial"/>
                <w:sz w:val="21"/>
                <w:szCs w:val="21"/>
              </w:rPr>
              <w:t>2.07</w:t>
            </w:r>
          </w:p>
        </w:tc>
        <w:tc>
          <w:tcPr>
            <w:tcW w:w="2520" w:type="dxa"/>
          </w:tcPr>
          <w:p w:rsidR="001C0D62" w:rsidRDefault="001C0D62">
            <w:pPr>
              <w:jc w:val="center"/>
              <w:rPr>
                <w:rFonts w:ascii="Arial" w:hAnsi="Arial" w:cs="Arial"/>
                <w:sz w:val="21"/>
                <w:szCs w:val="21"/>
              </w:rPr>
            </w:pPr>
            <w:r>
              <w:rPr>
                <w:rFonts w:ascii="Arial" w:hAnsi="Arial" w:cs="Arial"/>
                <w:sz w:val="21"/>
                <w:szCs w:val="21"/>
              </w:rPr>
              <w:t>1.81</w:t>
            </w:r>
          </w:p>
        </w:tc>
      </w:tr>
      <w:tr w:rsidR="001C0D62">
        <w:tblPrEx>
          <w:tblCellMar>
            <w:top w:w="0" w:type="dxa"/>
            <w:bottom w:w="0" w:type="dxa"/>
          </w:tblCellMar>
        </w:tblPrEx>
        <w:tc>
          <w:tcPr>
            <w:tcW w:w="1188" w:type="dxa"/>
          </w:tcPr>
          <w:p w:rsidR="001C0D62" w:rsidRDefault="001C0D62">
            <w:pPr>
              <w:jc w:val="center"/>
              <w:rPr>
                <w:rFonts w:ascii="Arial" w:hAnsi="Arial" w:cs="Arial"/>
                <w:sz w:val="21"/>
                <w:szCs w:val="21"/>
              </w:rPr>
            </w:pPr>
            <w:r>
              <w:rPr>
                <w:rFonts w:ascii="Arial" w:hAnsi="Arial" w:cs="Arial"/>
                <w:sz w:val="21"/>
                <w:szCs w:val="21"/>
              </w:rPr>
              <w:t>1977</w:t>
            </w:r>
          </w:p>
        </w:tc>
        <w:tc>
          <w:tcPr>
            <w:tcW w:w="2520" w:type="dxa"/>
          </w:tcPr>
          <w:p w:rsidR="001C0D62" w:rsidRDefault="001C0D62">
            <w:pPr>
              <w:jc w:val="center"/>
              <w:rPr>
                <w:rFonts w:ascii="Arial" w:hAnsi="Arial" w:cs="Arial"/>
                <w:sz w:val="21"/>
                <w:szCs w:val="21"/>
              </w:rPr>
            </w:pPr>
            <w:r>
              <w:rPr>
                <w:rFonts w:ascii="Arial" w:hAnsi="Arial" w:cs="Arial"/>
                <w:sz w:val="21"/>
                <w:szCs w:val="21"/>
              </w:rPr>
              <w:t>1.67</w:t>
            </w:r>
          </w:p>
        </w:tc>
        <w:tc>
          <w:tcPr>
            <w:tcW w:w="2520" w:type="dxa"/>
          </w:tcPr>
          <w:p w:rsidR="001C0D62" w:rsidRDefault="001C0D62">
            <w:pPr>
              <w:jc w:val="center"/>
              <w:rPr>
                <w:rFonts w:ascii="Arial" w:hAnsi="Arial" w:cs="Arial"/>
                <w:sz w:val="21"/>
                <w:szCs w:val="21"/>
              </w:rPr>
            </w:pPr>
            <w:r>
              <w:rPr>
                <w:rFonts w:ascii="Arial" w:hAnsi="Arial" w:cs="Arial"/>
                <w:sz w:val="21"/>
                <w:szCs w:val="21"/>
              </w:rPr>
              <w:t>2.16</w:t>
            </w:r>
          </w:p>
        </w:tc>
        <w:tc>
          <w:tcPr>
            <w:tcW w:w="2520" w:type="dxa"/>
          </w:tcPr>
          <w:p w:rsidR="001C0D62" w:rsidRDefault="001C0D62">
            <w:pPr>
              <w:jc w:val="center"/>
              <w:rPr>
                <w:rFonts w:ascii="Arial" w:hAnsi="Arial" w:cs="Arial"/>
                <w:sz w:val="21"/>
                <w:szCs w:val="21"/>
              </w:rPr>
            </w:pPr>
            <w:r>
              <w:rPr>
                <w:rFonts w:ascii="Arial" w:hAnsi="Arial" w:cs="Arial"/>
                <w:sz w:val="21"/>
                <w:szCs w:val="21"/>
              </w:rPr>
              <w:t>1.69</w:t>
            </w:r>
          </w:p>
        </w:tc>
      </w:tr>
      <w:tr w:rsidR="001C0D62">
        <w:tblPrEx>
          <w:tblCellMar>
            <w:top w:w="0" w:type="dxa"/>
            <w:bottom w:w="0" w:type="dxa"/>
          </w:tblCellMar>
        </w:tblPrEx>
        <w:tc>
          <w:tcPr>
            <w:tcW w:w="1188" w:type="dxa"/>
          </w:tcPr>
          <w:p w:rsidR="001C0D62" w:rsidRDefault="001C0D62">
            <w:pPr>
              <w:jc w:val="center"/>
              <w:rPr>
                <w:rFonts w:ascii="Arial" w:hAnsi="Arial" w:cs="Arial"/>
                <w:sz w:val="21"/>
                <w:szCs w:val="21"/>
              </w:rPr>
            </w:pPr>
            <w:r>
              <w:rPr>
                <w:rFonts w:ascii="Arial" w:hAnsi="Arial" w:cs="Arial"/>
                <w:sz w:val="21"/>
                <w:szCs w:val="21"/>
              </w:rPr>
              <w:t>1978</w:t>
            </w:r>
          </w:p>
        </w:tc>
        <w:tc>
          <w:tcPr>
            <w:tcW w:w="2520" w:type="dxa"/>
          </w:tcPr>
          <w:p w:rsidR="001C0D62" w:rsidRDefault="001C0D62">
            <w:pPr>
              <w:jc w:val="center"/>
              <w:rPr>
                <w:rFonts w:ascii="Arial" w:hAnsi="Arial" w:cs="Arial"/>
                <w:sz w:val="21"/>
                <w:szCs w:val="21"/>
              </w:rPr>
            </w:pPr>
            <w:r>
              <w:rPr>
                <w:rFonts w:ascii="Arial" w:hAnsi="Arial" w:cs="Arial"/>
                <w:sz w:val="21"/>
                <w:szCs w:val="21"/>
              </w:rPr>
              <w:t>1.68</w:t>
            </w:r>
          </w:p>
        </w:tc>
        <w:tc>
          <w:tcPr>
            <w:tcW w:w="2520" w:type="dxa"/>
          </w:tcPr>
          <w:p w:rsidR="001C0D62" w:rsidRDefault="001C0D62">
            <w:pPr>
              <w:jc w:val="center"/>
              <w:rPr>
                <w:rFonts w:ascii="Arial" w:hAnsi="Arial" w:cs="Arial"/>
                <w:sz w:val="21"/>
                <w:szCs w:val="21"/>
              </w:rPr>
            </w:pPr>
            <w:r>
              <w:rPr>
                <w:rFonts w:ascii="Arial" w:hAnsi="Arial" w:cs="Arial"/>
                <w:sz w:val="21"/>
                <w:szCs w:val="21"/>
              </w:rPr>
              <w:t>2.22</w:t>
            </w:r>
          </w:p>
        </w:tc>
        <w:tc>
          <w:tcPr>
            <w:tcW w:w="2520" w:type="dxa"/>
          </w:tcPr>
          <w:p w:rsidR="001C0D62" w:rsidRDefault="001C0D62">
            <w:pPr>
              <w:jc w:val="center"/>
              <w:rPr>
                <w:rFonts w:ascii="Arial" w:hAnsi="Arial" w:cs="Arial"/>
                <w:sz w:val="21"/>
                <w:szCs w:val="21"/>
              </w:rPr>
            </w:pPr>
            <w:r>
              <w:rPr>
                <w:rFonts w:ascii="Arial" w:hAnsi="Arial" w:cs="Arial"/>
                <w:sz w:val="21"/>
                <w:szCs w:val="21"/>
              </w:rPr>
              <w:t>1.80</w:t>
            </w:r>
          </w:p>
        </w:tc>
      </w:tr>
      <w:tr w:rsidR="001C0D62">
        <w:tblPrEx>
          <w:tblCellMar>
            <w:top w:w="0" w:type="dxa"/>
            <w:bottom w:w="0" w:type="dxa"/>
          </w:tblCellMar>
        </w:tblPrEx>
        <w:tc>
          <w:tcPr>
            <w:tcW w:w="1188" w:type="dxa"/>
          </w:tcPr>
          <w:p w:rsidR="001C0D62" w:rsidRDefault="001C0D62">
            <w:pPr>
              <w:jc w:val="center"/>
              <w:rPr>
                <w:rFonts w:ascii="Arial" w:hAnsi="Arial" w:cs="Arial"/>
                <w:sz w:val="21"/>
                <w:szCs w:val="21"/>
              </w:rPr>
            </w:pPr>
            <w:r>
              <w:rPr>
                <w:rFonts w:ascii="Arial" w:hAnsi="Arial" w:cs="Arial"/>
                <w:sz w:val="21"/>
                <w:szCs w:val="21"/>
              </w:rPr>
              <w:t>1979</w:t>
            </w:r>
          </w:p>
        </w:tc>
        <w:tc>
          <w:tcPr>
            <w:tcW w:w="2520" w:type="dxa"/>
          </w:tcPr>
          <w:p w:rsidR="001C0D62" w:rsidRDefault="001C0D62">
            <w:pPr>
              <w:jc w:val="center"/>
              <w:rPr>
                <w:rFonts w:ascii="Arial" w:hAnsi="Arial" w:cs="Arial"/>
                <w:sz w:val="21"/>
                <w:szCs w:val="21"/>
              </w:rPr>
            </w:pPr>
            <w:r>
              <w:rPr>
                <w:rFonts w:ascii="Arial" w:hAnsi="Arial" w:cs="Arial"/>
                <w:sz w:val="21"/>
                <w:szCs w:val="21"/>
              </w:rPr>
              <w:t>1.77</w:t>
            </w:r>
          </w:p>
        </w:tc>
        <w:tc>
          <w:tcPr>
            <w:tcW w:w="2520" w:type="dxa"/>
          </w:tcPr>
          <w:p w:rsidR="001C0D62" w:rsidRDefault="001C0D62">
            <w:pPr>
              <w:jc w:val="center"/>
              <w:rPr>
                <w:rFonts w:ascii="Arial" w:hAnsi="Arial" w:cs="Arial"/>
                <w:sz w:val="21"/>
                <w:szCs w:val="21"/>
              </w:rPr>
            </w:pPr>
            <w:r>
              <w:rPr>
                <w:rFonts w:ascii="Arial" w:hAnsi="Arial" w:cs="Arial"/>
                <w:sz w:val="21"/>
                <w:szCs w:val="21"/>
              </w:rPr>
              <w:t>2.12</w:t>
            </w:r>
          </w:p>
        </w:tc>
        <w:tc>
          <w:tcPr>
            <w:tcW w:w="2520" w:type="dxa"/>
          </w:tcPr>
          <w:p w:rsidR="001C0D62" w:rsidRDefault="001C0D62">
            <w:pPr>
              <w:jc w:val="center"/>
              <w:rPr>
                <w:rFonts w:ascii="Arial" w:hAnsi="Arial" w:cs="Arial"/>
                <w:sz w:val="21"/>
                <w:szCs w:val="21"/>
              </w:rPr>
            </w:pPr>
            <w:r>
              <w:rPr>
                <w:rFonts w:ascii="Arial" w:hAnsi="Arial" w:cs="Arial"/>
                <w:sz w:val="21"/>
                <w:szCs w:val="21"/>
              </w:rPr>
              <w:t>1.74</w:t>
            </w:r>
          </w:p>
        </w:tc>
      </w:tr>
      <w:tr w:rsidR="001C0D62">
        <w:tblPrEx>
          <w:tblCellMar>
            <w:top w:w="0" w:type="dxa"/>
            <w:bottom w:w="0" w:type="dxa"/>
          </w:tblCellMar>
        </w:tblPrEx>
        <w:tc>
          <w:tcPr>
            <w:tcW w:w="1188" w:type="dxa"/>
          </w:tcPr>
          <w:p w:rsidR="001C0D62" w:rsidRDefault="001C0D62">
            <w:pPr>
              <w:jc w:val="center"/>
              <w:rPr>
                <w:rFonts w:ascii="Arial" w:hAnsi="Arial" w:cs="Arial"/>
                <w:sz w:val="21"/>
                <w:szCs w:val="21"/>
              </w:rPr>
            </w:pPr>
            <w:r>
              <w:rPr>
                <w:rFonts w:ascii="Arial" w:hAnsi="Arial" w:cs="Arial"/>
                <w:sz w:val="21"/>
                <w:szCs w:val="21"/>
              </w:rPr>
              <w:t>1980</w:t>
            </w:r>
          </w:p>
        </w:tc>
        <w:tc>
          <w:tcPr>
            <w:tcW w:w="2520" w:type="dxa"/>
          </w:tcPr>
          <w:p w:rsidR="001C0D62" w:rsidRDefault="001C0D62">
            <w:pPr>
              <w:jc w:val="center"/>
              <w:rPr>
                <w:rFonts w:ascii="Arial" w:hAnsi="Arial" w:cs="Arial"/>
                <w:sz w:val="21"/>
                <w:szCs w:val="21"/>
              </w:rPr>
            </w:pPr>
            <w:r>
              <w:rPr>
                <w:rFonts w:ascii="Arial" w:hAnsi="Arial" w:cs="Arial"/>
                <w:sz w:val="21"/>
                <w:szCs w:val="21"/>
              </w:rPr>
              <w:t>1.67</w:t>
            </w:r>
          </w:p>
        </w:tc>
        <w:tc>
          <w:tcPr>
            <w:tcW w:w="2520" w:type="dxa"/>
          </w:tcPr>
          <w:p w:rsidR="001C0D62" w:rsidRDefault="001C0D62">
            <w:pPr>
              <w:jc w:val="center"/>
              <w:rPr>
                <w:rFonts w:ascii="Arial" w:hAnsi="Arial" w:cs="Arial"/>
                <w:sz w:val="21"/>
                <w:szCs w:val="21"/>
              </w:rPr>
            </w:pPr>
            <w:r>
              <w:rPr>
                <w:rFonts w:ascii="Arial" w:hAnsi="Arial" w:cs="Arial"/>
                <w:sz w:val="21"/>
                <w:szCs w:val="21"/>
              </w:rPr>
              <w:t>2.14</w:t>
            </w:r>
          </w:p>
        </w:tc>
        <w:tc>
          <w:tcPr>
            <w:tcW w:w="2520" w:type="dxa"/>
          </w:tcPr>
          <w:p w:rsidR="001C0D62" w:rsidRDefault="001C0D62">
            <w:pPr>
              <w:jc w:val="center"/>
              <w:rPr>
                <w:rFonts w:ascii="Arial" w:hAnsi="Arial" w:cs="Arial"/>
                <w:sz w:val="21"/>
                <w:szCs w:val="21"/>
              </w:rPr>
            </w:pPr>
            <w:r>
              <w:rPr>
                <w:rFonts w:ascii="Arial" w:hAnsi="Arial" w:cs="Arial"/>
                <w:sz w:val="21"/>
                <w:szCs w:val="21"/>
              </w:rPr>
              <w:t>1.71</w:t>
            </w:r>
          </w:p>
        </w:tc>
      </w:tr>
      <w:tr w:rsidR="001C0D62">
        <w:tblPrEx>
          <w:tblCellMar>
            <w:top w:w="0" w:type="dxa"/>
            <w:bottom w:w="0" w:type="dxa"/>
          </w:tblCellMar>
        </w:tblPrEx>
        <w:tc>
          <w:tcPr>
            <w:tcW w:w="1188" w:type="dxa"/>
          </w:tcPr>
          <w:p w:rsidR="001C0D62" w:rsidRDefault="001C0D62">
            <w:pPr>
              <w:jc w:val="center"/>
              <w:rPr>
                <w:rFonts w:ascii="Arial" w:hAnsi="Arial" w:cs="Arial"/>
                <w:sz w:val="21"/>
                <w:szCs w:val="21"/>
              </w:rPr>
            </w:pPr>
            <w:r>
              <w:rPr>
                <w:rFonts w:ascii="Arial" w:hAnsi="Arial" w:cs="Arial"/>
                <w:sz w:val="21"/>
                <w:szCs w:val="21"/>
              </w:rPr>
              <w:t>1981</w:t>
            </w:r>
          </w:p>
        </w:tc>
        <w:tc>
          <w:tcPr>
            <w:tcW w:w="2520" w:type="dxa"/>
          </w:tcPr>
          <w:p w:rsidR="001C0D62" w:rsidRDefault="001C0D62">
            <w:pPr>
              <w:jc w:val="center"/>
              <w:rPr>
                <w:rFonts w:ascii="Arial" w:hAnsi="Arial" w:cs="Arial"/>
                <w:sz w:val="21"/>
                <w:szCs w:val="21"/>
              </w:rPr>
            </w:pPr>
            <w:r>
              <w:rPr>
                <w:rFonts w:ascii="Arial" w:hAnsi="Arial" w:cs="Arial"/>
                <w:sz w:val="21"/>
                <w:szCs w:val="21"/>
              </w:rPr>
              <w:t>1.58</w:t>
            </w:r>
          </w:p>
        </w:tc>
        <w:tc>
          <w:tcPr>
            <w:tcW w:w="2520" w:type="dxa"/>
          </w:tcPr>
          <w:p w:rsidR="001C0D62" w:rsidRDefault="001C0D62">
            <w:pPr>
              <w:jc w:val="center"/>
              <w:rPr>
                <w:rFonts w:ascii="Arial" w:hAnsi="Arial" w:cs="Arial"/>
                <w:sz w:val="21"/>
                <w:szCs w:val="21"/>
              </w:rPr>
            </w:pPr>
            <w:r>
              <w:rPr>
                <w:rFonts w:ascii="Arial" w:hAnsi="Arial" w:cs="Arial"/>
                <w:sz w:val="21"/>
                <w:szCs w:val="21"/>
              </w:rPr>
              <w:t>1.95</w:t>
            </w:r>
          </w:p>
        </w:tc>
        <w:tc>
          <w:tcPr>
            <w:tcW w:w="2520" w:type="dxa"/>
          </w:tcPr>
          <w:p w:rsidR="001C0D62" w:rsidRDefault="001C0D62">
            <w:pPr>
              <w:jc w:val="center"/>
              <w:rPr>
                <w:rFonts w:ascii="Arial" w:hAnsi="Arial" w:cs="Arial"/>
                <w:sz w:val="21"/>
                <w:szCs w:val="21"/>
              </w:rPr>
            </w:pPr>
            <w:r>
              <w:rPr>
                <w:rFonts w:ascii="Arial" w:hAnsi="Arial" w:cs="Arial"/>
                <w:sz w:val="21"/>
                <w:szCs w:val="21"/>
              </w:rPr>
              <w:t>1.59</w:t>
            </w:r>
          </w:p>
        </w:tc>
      </w:tr>
      <w:tr w:rsidR="001C0D62">
        <w:tblPrEx>
          <w:tblCellMar>
            <w:top w:w="0" w:type="dxa"/>
            <w:bottom w:w="0" w:type="dxa"/>
          </w:tblCellMar>
        </w:tblPrEx>
        <w:tc>
          <w:tcPr>
            <w:tcW w:w="1188" w:type="dxa"/>
          </w:tcPr>
          <w:p w:rsidR="001C0D62" w:rsidRDefault="001C0D62">
            <w:pPr>
              <w:jc w:val="center"/>
              <w:rPr>
                <w:rFonts w:ascii="Arial" w:hAnsi="Arial" w:cs="Arial"/>
                <w:sz w:val="21"/>
                <w:szCs w:val="21"/>
              </w:rPr>
            </w:pPr>
            <w:r>
              <w:rPr>
                <w:rFonts w:ascii="Arial" w:hAnsi="Arial" w:cs="Arial"/>
                <w:sz w:val="21"/>
                <w:szCs w:val="21"/>
              </w:rPr>
              <w:t>1982</w:t>
            </w:r>
          </w:p>
        </w:tc>
        <w:tc>
          <w:tcPr>
            <w:tcW w:w="2520" w:type="dxa"/>
          </w:tcPr>
          <w:p w:rsidR="001C0D62" w:rsidRDefault="001C0D62">
            <w:pPr>
              <w:jc w:val="center"/>
              <w:rPr>
                <w:rFonts w:ascii="Arial" w:hAnsi="Arial" w:cs="Arial"/>
                <w:sz w:val="21"/>
                <w:szCs w:val="21"/>
              </w:rPr>
            </w:pPr>
            <w:r>
              <w:rPr>
                <w:rFonts w:ascii="Arial" w:hAnsi="Arial" w:cs="Arial"/>
                <w:sz w:val="21"/>
                <w:szCs w:val="21"/>
              </w:rPr>
              <w:t>1.64</w:t>
            </w:r>
          </w:p>
        </w:tc>
        <w:tc>
          <w:tcPr>
            <w:tcW w:w="2520" w:type="dxa"/>
          </w:tcPr>
          <w:p w:rsidR="001C0D62" w:rsidRDefault="001C0D62">
            <w:pPr>
              <w:jc w:val="center"/>
              <w:rPr>
                <w:rFonts w:ascii="Arial" w:hAnsi="Arial" w:cs="Arial"/>
                <w:sz w:val="21"/>
                <w:szCs w:val="21"/>
              </w:rPr>
            </w:pPr>
            <w:r>
              <w:rPr>
                <w:rFonts w:ascii="Arial" w:hAnsi="Arial" w:cs="Arial"/>
                <w:sz w:val="21"/>
                <w:szCs w:val="21"/>
              </w:rPr>
              <w:t>2.08</w:t>
            </w:r>
          </w:p>
        </w:tc>
        <w:tc>
          <w:tcPr>
            <w:tcW w:w="2520" w:type="dxa"/>
          </w:tcPr>
          <w:p w:rsidR="001C0D62" w:rsidRDefault="001C0D62">
            <w:pPr>
              <w:jc w:val="center"/>
              <w:rPr>
                <w:rFonts w:ascii="Arial" w:hAnsi="Arial" w:cs="Arial"/>
                <w:sz w:val="21"/>
                <w:szCs w:val="21"/>
              </w:rPr>
            </w:pPr>
            <w:r>
              <w:rPr>
                <w:rFonts w:ascii="Arial" w:hAnsi="Arial" w:cs="Arial"/>
                <w:sz w:val="21"/>
                <w:szCs w:val="21"/>
              </w:rPr>
              <w:t>1.67</w:t>
            </w:r>
          </w:p>
        </w:tc>
      </w:tr>
      <w:tr w:rsidR="001C0D62">
        <w:tblPrEx>
          <w:tblCellMar>
            <w:top w:w="0" w:type="dxa"/>
            <w:bottom w:w="0" w:type="dxa"/>
          </w:tblCellMar>
        </w:tblPrEx>
        <w:tc>
          <w:tcPr>
            <w:tcW w:w="1188" w:type="dxa"/>
          </w:tcPr>
          <w:p w:rsidR="001C0D62" w:rsidRDefault="001C0D62">
            <w:pPr>
              <w:jc w:val="center"/>
              <w:rPr>
                <w:rFonts w:ascii="Arial" w:hAnsi="Arial" w:cs="Arial"/>
                <w:sz w:val="21"/>
                <w:szCs w:val="21"/>
              </w:rPr>
            </w:pPr>
            <w:r>
              <w:rPr>
                <w:rFonts w:ascii="Arial" w:hAnsi="Arial" w:cs="Arial"/>
                <w:sz w:val="21"/>
                <w:szCs w:val="21"/>
              </w:rPr>
              <w:t>1983</w:t>
            </w:r>
          </w:p>
        </w:tc>
        <w:tc>
          <w:tcPr>
            <w:tcW w:w="2520" w:type="dxa"/>
          </w:tcPr>
          <w:p w:rsidR="001C0D62" w:rsidRDefault="001C0D62">
            <w:pPr>
              <w:jc w:val="center"/>
              <w:rPr>
                <w:rFonts w:ascii="Arial" w:hAnsi="Arial" w:cs="Arial"/>
                <w:sz w:val="21"/>
                <w:szCs w:val="21"/>
              </w:rPr>
            </w:pPr>
            <w:r>
              <w:rPr>
                <w:rFonts w:ascii="Arial" w:hAnsi="Arial" w:cs="Arial"/>
                <w:sz w:val="21"/>
                <w:szCs w:val="21"/>
              </w:rPr>
              <w:t>1.72</w:t>
            </w:r>
          </w:p>
        </w:tc>
        <w:tc>
          <w:tcPr>
            <w:tcW w:w="2520" w:type="dxa"/>
          </w:tcPr>
          <w:p w:rsidR="001C0D62" w:rsidRDefault="001C0D62">
            <w:pPr>
              <w:jc w:val="center"/>
              <w:rPr>
                <w:rFonts w:ascii="Arial" w:hAnsi="Arial" w:cs="Arial"/>
                <w:sz w:val="21"/>
                <w:szCs w:val="21"/>
              </w:rPr>
            </w:pPr>
            <w:r>
              <w:rPr>
                <w:rFonts w:ascii="Arial" w:hAnsi="Arial" w:cs="Arial"/>
                <w:sz w:val="21"/>
                <w:szCs w:val="21"/>
              </w:rPr>
              <w:t>2.09</w:t>
            </w:r>
          </w:p>
        </w:tc>
        <w:tc>
          <w:tcPr>
            <w:tcW w:w="2520" w:type="dxa"/>
          </w:tcPr>
          <w:p w:rsidR="001C0D62" w:rsidRDefault="001C0D62">
            <w:pPr>
              <w:jc w:val="center"/>
              <w:rPr>
                <w:rFonts w:ascii="Arial" w:hAnsi="Arial" w:cs="Arial"/>
                <w:sz w:val="21"/>
                <w:szCs w:val="21"/>
              </w:rPr>
            </w:pPr>
            <w:r>
              <w:rPr>
                <w:rFonts w:ascii="Arial" w:hAnsi="Arial" w:cs="Arial"/>
                <w:sz w:val="21"/>
                <w:szCs w:val="21"/>
              </w:rPr>
              <w:t>1.83</w:t>
            </w:r>
          </w:p>
        </w:tc>
      </w:tr>
      <w:tr w:rsidR="001C0D62">
        <w:tblPrEx>
          <w:tblCellMar>
            <w:top w:w="0" w:type="dxa"/>
            <w:bottom w:w="0" w:type="dxa"/>
          </w:tblCellMar>
        </w:tblPrEx>
        <w:tc>
          <w:tcPr>
            <w:tcW w:w="1188" w:type="dxa"/>
          </w:tcPr>
          <w:p w:rsidR="001C0D62" w:rsidRDefault="001C0D62">
            <w:pPr>
              <w:jc w:val="center"/>
              <w:rPr>
                <w:rFonts w:ascii="Arial" w:hAnsi="Arial" w:cs="Arial"/>
                <w:sz w:val="21"/>
                <w:szCs w:val="21"/>
              </w:rPr>
            </w:pPr>
            <w:r>
              <w:rPr>
                <w:rFonts w:ascii="Arial" w:hAnsi="Arial" w:cs="Arial"/>
                <w:sz w:val="21"/>
                <w:szCs w:val="21"/>
              </w:rPr>
              <w:t>1984</w:t>
            </w:r>
          </w:p>
        </w:tc>
        <w:tc>
          <w:tcPr>
            <w:tcW w:w="2520" w:type="dxa"/>
          </w:tcPr>
          <w:p w:rsidR="001C0D62" w:rsidRDefault="001C0D62">
            <w:pPr>
              <w:jc w:val="center"/>
              <w:rPr>
                <w:rFonts w:ascii="Arial" w:hAnsi="Arial" w:cs="Arial"/>
                <w:sz w:val="21"/>
                <w:szCs w:val="21"/>
              </w:rPr>
            </w:pPr>
            <w:r>
              <w:rPr>
                <w:rFonts w:ascii="Arial" w:hAnsi="Arial" w:cs="Arial"/>
                <w:sz w:val="21"/>
                <w:szCs w:val="21"/>
              </w:rPr>
              <w:t>1.60</w:t>
            </w:r>
          </w:p>
        </w:tc>
        <w:tc>
          <w:tcPr>
            <w:tcW w:w="2520" w:type="dxa"/>
          </w:tcPr>
          <w:p w:rsidR="001C0D62" w:rsidRDefault="001C0D62">
            <w:pPr>
              <w:jc w:val="center"/>
              <w:rPr>
                <w:rFonts w:ascii="Arial" w:hAnsi="Arial" w:cs="Arial"/>
                <w:sz w:val="21"/>
                <w:szCs w:val="21"/>
              </w:rPr>
            </w:pPr>
            <w:r>
              <w:rPr>
                <w:rFonts w:ascii="Arial" w:hAnsi="Arial" w:cs="Arial"/>
                <w:sz w:val="21"/>
                <w:szCs w:val="21"/>
              </w:rPr>
              <w:t>1.97</w:t>
            </w:r>
          </w:p>
        </w:tc>
        <w:tc>
          <w:tcPr>
            <w:tcW w:w="2520" w:type="dxa"/>
          </w:tcPr>
          <w:p w:rsidR="001C0D62" w:rsidRDefault="001C0D62">
            <w:pPr>
              <w:jc w:val="center"/>
              <w:rPr>
                <w:rFonts w:ascii="Arial" w:hAnsi="Arial" w:cs="Arial"/>
                <w:sz w:val="21"/>
                <w:szCs w:val="21"/>
              </w:rPr>
            </w:pPr>
            <w:r>
              <w:rPr>
                <w:rFonts w:ascii="Arial" w:hAnsi="Arial" w:cs="Arial"/>
                <w:sz w:val="21"/>
                <w:szCs w:val="21"/>
              </w:rPr>
              <w:t>1.77</w:t>
            </w:r>
          </w:p>
        </w:tc>
      </w:tr>
      <w:tr w:rsidR="001C0D62">
        <w:tblPrEx>
          <w:tblCellMar>
            <w:top w:w="0" w:type="dxa"/>
            <w:bottom w:w="0" w:type="dxa"/>
          </w:tblCellMar>
        </w:tblPrEx>
        <w:tc>
          <w:tcPr>
            <w:tcW w:w="1188" w:type="dxa"/>
          </w:tcPr>
          <w:p w:rsidR="001C0D62" w:rsidRDefault="001C0D62">
            <w:pPr>
              <w:jc w:val="center"/>
              <w:rPr>
                <w:rFonts w:ascii="Arial" w:hAnsi="Arial" w:cs="Arial"/>
                <w:sz w:val="21"/>
                <w:szCs w:val="21"/>
              </w:rPr>
            </w:pPr>
            <w:r>
              <w:rPr>
                <w:rFonts w:ascii="Arial" w:hAnsi="Arial" w:cs="Arial"/>
                <w:sz w:val="21"/>
                <w:szCs w:val="21"/>
              </w:rPr>
              <w:t>1985</w:t>
            </w:r>
          </w:p>
        </w:tc>
        <w:tc>
          <w:tcPr>
            <w:tcW w:w="2520" w:type="dxa"/>
          </w:tcPr>
          <w:p w:rsidR="001C0D62" w:rsidRDefault="001C0D62">
            <w:pPr>
              <w:jc w:val="center"/>
              <w:rPr>
                <w:rFonts w:ascii="Arial" w:hAnsi="Arial" w:cs="Arial"/>
                <w:sz w:val="21"/>
                <w:szCs w:val="21"/>
              </w:rPr>
            </w:pPr>
            <w:r>
              <w:rPr>
                <w:rFonts w:ascii="Arial" w:hAnsi="Arial" w:cs="Arial"/>
                <w:sz w:val="21"/>
                <w:szCs w:val="21"/>
              </w:rPr>
              <w:t>1.66</w:t>
            </w:r>
          </w:p>
        </w:tc>
        <w:tc>
          <w:tcPr>
            <w:tcW w:w="2520" w:type="dxa"/>
          </w:tcPr>
          <w:p w:rsidR="001C0D62" w:rsidRDefault="001C0D62">
            <w:pPr>
              <w:jc w:val="center"/>
              <w:rPr>
                <w:rFonts w:ascii="Arial" w:hAnsi="Arial" w:cs="Arial"/>
                <w:sz w:val="21"/>
                <w:szCs w:val="21"/>
              </w:rPr>
            </w:pPr>
            <w:r>
              <w:rPr>
                <w:rFonts w:ascii="Arial" w:hAnsi="Arial" w:cs="Arial"/>
                <w:sz w:val="21"/>
                <w:szCs w:val="21"/>
              </w:rPr>
              <w:t>2.15</w:t>
            </w:r>
          </w:p>
        </w:tc>
        <w:tc>
          <w:tcPr>
            <w:tcW w:w="2520" w:type="dxa"/>
          </w:tcPr>
          <w:p w:rsidR="001C0D62" w:rsidRDefault="001C0D62">
            <w:pPr>
              <w:jc w:val="center"/>
              <w:rPr>
                <w:rFonts w:ascii="Arial" w:hAnsi="Arial" w:cs="Arial"/>
                <w:sz w:val="21"/>
                <w:szCs w:val="21"/>
              </w:rPr>
            </w:pPr>
            <w:r>
              <w:rPr>
                <w:rFonts w:ascii="Arial" w:hAnsi="Arial" w:cs="Arial"/>
                <w:sz w:val="21"/>
                <w:szCs w:val="21"/>
              </w:rPr>
              <w:t>1.64</w:t>
            </w:r>
          </w:p>
        </w:tc>
      </w:tr>
      <w:tr w:rsidR="001C0D62">
        <w:tblPrEx>
          <w:tblCellMar>
            <w:top w:w="0" w:type="dxa"/>
            <w:bottom w:w="0" w:type="dxa"/>
          </w:tblCellMar>
        </w:tblPrEx>
        <w:tc>
          <w:tcPr>
            <w:tcW w:w="1188" w:type="dxa"/>
          </w:tcPr>
          <w:p w:rsidR="001C0D62" w:rsidRDefault="001C0D62">
            <w:pPr>
              <w:jc w:val="center"/>
              <w:rPr>
                <w:rFonts w:ascii="Arial" w:hAnsi="Arial" w:cs="Arial"/>
                <w:sz w:val="21"/>
                <w:szCs w:val="21"/>
              </w:rPr>
            </w:pPr>
            <w:r>
              <w:rPr>
                <w:rFonts w:ascii="Arial" w:hAnsi="Arial" w:cs="Arial"/>
                <w:sz w:val="21"/>
                <w:szCs w:val="21"/>
              </w:rPr>
              <w:t>1986</w:t>
            </w:r>
          </w:p>
        </w:tc>
        <w:tc>
          <w:tcPr>
            <w:tcW w:w="2520" w:type="dxa"/>
          </w:tcPr>
          <w:p w:rsidR="001C0D62" w:rsidRDefault="001C0D62">
            <w:pPr>
              <w:jc w:val="center"/>
              <w:rPr>
                <w:rFonts w:ascii="Arial" w:hAnsi="Arial" w:cs="Arial"/>
                <w:sz w:val="21"/>
                <w:szCs w:val="21"/>
              </w:rPr>
            </w:pPr>
            <w:r>
              <w:rPr>
                <w:rFonts w:ascii="Arial" w:hAnsi="Arial" w:cs="Arial"/>
                <w:sz w:val="21"/>
                <w:szCs w:val="21"/>
              </w:rPr>
              <w:t>1.67</w:t>
            </w:r>
          </w:p>
        </w:tc>
        <w:tc>
          <w:tcPr>
            <w:tcW w:w="2520" w:type="dxa"/>
          </w:tcPr>
          <w:p w:rsidR="001C0D62" w:rsidRDefault="001C0D62">
            <w:pPr>
              <w:jc w:val="center"/>
              <w:rPr>
                <w:rFonts w:ascii="Arial" w:hAnsi="Arial" w:cs="Arial"/>
                <w:sz w:val="21"/>
                <w:szCs w:val="21"/>
              </w:rPr>
            </w:pPr>
            <w:r>
              <w:rPr>
                <w:rFonts w:ascii="Arial" w:hAnsi="Arial" w:cs="Arial"/>
                <w:sz w:val="21"/>
                <w:szCs w:val="21"/>
              </w:rPr>
              <w:t>2.17</w:t>
            </w:r>
          </w:p>
        </w:tc>
        <w:tc>
          <w:tcPr>
            <w:tcW w:w="2520" w:type="dxa"/>
          </w:tcPr>
          <w:p w:rsidR="001C0D62" w:rsidRDefault="001C0D62">
            <w:pPr>
              <w:jc w:val="center"/>
              <w:rPr>
                <w:rFonts w:ascii="Arial" w:hAnsi="Arial" w:cs="Arial"/>
                <w:sz w:val="21"/>
                <w:szCs w:val="21"/>
              </w:rPr>
            </w:pPr>
            <w:r>
              <w:rPr>
                <w:rFonts w:ascii="Arial" w:hAnsi="Arial" w:cs="Arial"/>
                <w:sz w:val="21"/>
                <w:szCs w:val="21"/>
              </w:rPr>
              <w:t>1.64</w:t>
            </w:r>
          </w:p>
        </w:tc>
      </w:tr>
      <w:tr w:rsidR="001C0D62">
        <w:tblPrEx>
          <w:tblCellMar>
            <w:top w:w="0" w:type="dxa"/>
            <w:bottom w:w="0" w:type="dxa"/>
          </w:tblCellMar>
        </w:tblPrEx>
        <w:tc>
          <w:tcPr>
            <w:tcW w:w="1188" w:type="dxa"/>
          </w:tcPr>
          <w:p w:rsidR="001C0D62" w:rsidRDefault="001C0D62">
            <w:pPr>
              <w:jc w:val="center"/>
              <w:rPr>
                <w:rFonts w:ascii="Arial" w:hAnsi="Arial" w:cs="Arial"/>
                <w:sz w:val="21"/>
                <w:szCs w:val="21"/>
              </w:rPr>
            </w:pPr>
            <w:r>
              <w:rPr>
                <w:rFonts w:ascii="Arial" w:hAnsi="Arial" w:cs="Arial"/>
                <w:sz w:val="21"/>
                <w:szCs w:val="21"/>
              </w:rPr>
              <w:t>1987</w:t>
            </w:r>
          </w:p>
        </w:tc>
        <w:tc>
          <w:tcPr>
            <w:tcW w:w="2520" w:type="dxa"/>
          </w:tcPr>
          <w:p w:rsidR="001C0D62" w:rsidRDefault="001C0D62">
            <w:pPr>
              <w:jc w:val="center"/>
              <w:rPr>
                <w:rFonts w:ascii="Arial" w:hAnsi="Arial" w:cs="Arial"/>
                <w:sz w:val="21"/>
                <w:szCs w:val="21"/>
              </w:rPr>
            </w:pPr>
            <w:r>
              <w:rPr>
                <w:rFonts w:ascii="Arial" w:hAnsi="Arial" w:cs="Arial"/>
                <w:sz w:val="21"/>
                <w:szCs w:val="21"/>
              </w:rPr>
              <w:t>1.63</w:t>
            </w:r>
          </w:p>
        </w:tc>
        <w:tc>
          <w:tcPr>
            <w:tcW w:w="2520" w:type="dxa"/>
          </w:tcPr>
          <w:p w:rsidR="001C0D62" w:rsidRDefault="001C0D62">
            <w:pPr>
              <w:jc w:val="center"/>
              <w:rPr>
                <w:rFonts w:ascii="Arial" w:hAnsi="Arial" w:cs="Arial"/>
                <w:sz w:val="21"/>
                <w:szCs w:val="21"/>
              </w:rPr>
            </w:pPr>
            <w:r>
              <w:rPr>
                <w:rFonts w:ascii="Arial" w:hAnsi="Arial" w:cs="Arial"/>
                <w:sz w:val="21"/>
                <w:szCs w:val="21"/>
              </w:rPr>
              <w:t>2.08</w:t>
            </w:r>
          </w:p>
        </w:tc>
        <w:tc>
          <w:tcPr>
            <w:tcW w:w="2520" w:type="dxa"/>
          </w:tcPr>
          <w:p w:rsidR="001C0D62" w:rsidRDefault="001C0D62">
            <w:pPr>
              <w:jc w:val="center"/>
              <w:rPr>
                <w:rFonts w:ascii="Arial" w:hAnsi="Arial" w:cs="Arial"/>
                <w:sz w:val="21"/>
                <w:szCs w:val="21"/>
              </w:rPr>
            </w:pPr>
            <w:r>
              <w:rPr>
                <w:rFonts w:ascii="Arial" w:hAnsi="Arial" w:cs="Arial"/>
                <w:sz w:val="21"/>
                <w:szCs w:val="21"/>
              </w:rPr>
              <w:t>1.65</w:t>
            </w:r>
          </w:p>
        </w:tc>
      </w:tr>
      <w:tr w:rsidR="001C0D62">
        <w:tblPrEx>
          <w:tblCellMar>
            <w:top w:w="0" w:type="dxa"/>
            <w:bottom w:w="0" w:type="dxa"/>
          </w:tblCellMar>
        </w:tblPrEx>
        <w:tc>
          <w:tcPr>
            <w:tcW w:w="1188" w:type="dxa"/>
          </w:tcPr>
          <w:p w:rsidR="001C0D62" w:rsidRDefault="001C0D62">
            <w:pPr>
              <w:jc w:val="center"/>
              <w:rPr>
                <w:rFonts w:ascii="Arial" w:hAnsi="Arial" w:cs="Arial"/>
                <w:sz w:val="21"/>
                <w:szCs w:val="21"/>
              </w:rPr>
            </w:pPr>
            <w:r>
              <w:rPr>
                <w:rFonts w:ascii="Arial" w:hAnsi="Arial" w:cs="Arial"/>
                <w:sz w:val="21"/>
                <w:szCs w:val="21"/>
              </w:rPr>
              <w:t>1988</w:t>
            </w:r>
          </w:p>
        </w:tc>
        <w:tc>
          <w:tcPr>
            <w:tcW w:w="2520" w:type="dxa"/>
          </w:tcPr>
          <w:p w:rsidR="001C0D62" w:rsidRDefault="001C0D62">
            <w:pPr>
              <w:jc w:val="center"/>
              <w:rPr>
                <w:rFonts w:ascii="Arial" w:hAnsi="Arial" w:cs="Arial"/>
                <w:sz w:val="21"/>
                <w:szCs w:val="21"/>
              </w:rPr>
            </w:pPr>
            <w:r>
              <w:rPr>
                <w:rFonts w:ascii="Arial" w:hAnsi="Arial" w:cs="Arial"/>
                <w:sz w:val="21"/>
                <w:szCs w:val="21"/>
              </w:rPr>
              <w:t>1.61</w:t>
            </w:r>
          </w:p>
        </w:tc>
        <w:tc>
          <w:tcPr>
            <w:tcW w:w="2520" w:type="dxa"/>
          </w:tcPr>
          <w:p w:rsidR="001C0D62" w:rsidRDefault="001C0D62">
            <w:pPr>
              <w:jc w:val="center"/>
              <w:rPr>
                <w:rFonts w:ascii="Arial" w:hAnsi="Arial" w:cs="Arial"/>
                <w:sz w:val="21"/>
                <w:szCs w:val="21"/>
              </w:rPr>
            </w:pPr>
            <w:r>
              <w:rPr>
                <w:rFonts w:ascii="Arial" w:hAnsi="Arial" w:cs="Arial"/>
                <w:sz w:val="21"/>
                <w:szCs w:val="21"/>
              </w:rPr>
              <w:t>2.03</w:t>
            </w:r>
          </w:p>
        </w:tc>
        <w:tc>
          <w:tcPr>
            <w:tcW w:w="2520" w:type="dxa"/>
          </w:tcPr>
          <w:p w:rsidR="001C0D62" w:rsidRDefault="001C0D62">
            <w:pPr>
              <w:jc w:val="center"/>
              <w:rPr>
                <w:rFonts w:ascii="Arial" w:hAnsi="Arial" w:cs="Arial"/>
                <w:sz w:val="21"/>
                <w:szCs w:val="21"/>
              </w:rPr>
            </w:pPr>
            <w:r>
              <w:rPr>
                <w:rFonts w:ascii="Arial" w:hAnsi="Arial" w:cs="Arial"/>
                <w:sz w:val="21"/>
                <w:szCs w:val="21"/>
              </w:rPr>
              <w:t>1.59</w:t>
            </w:r>
          </w:p>
        </w:tc>
      </w:tr>
      <w:tr w:rsidR="001C0D62">
        <w:tblPrEx>
          <w:tblCellMar>
            <w:top w:w="0" w:type="dxa"/>
            <w:bottom w:w="0" w:type="dxa"/>
          </w:tblCellMar>
        </w:tblPrEx>
        <w:tc>
          <w:tcPr>
            <w:tcW w:w="1188" w:type="dxa"/>
          </w:tcPr>
          <w:p w:rsidR="001C0D62" w:rsidRDefault="001C0D62">
            <w:pPr>
              <w:jc w:val="center"/>
              <w:rPr>
                <w:rFonts w:ascii="Arial" w:hAnsi="Arial" w:cs="Arial"/>
                <w:sz w:val="21"/>
                <w:szCs w:val="21"/>
              </w:rPr>
            </w:pPr>
            <w:r>
              <w:rPr>
                <w:rFonts w:ascii="Arial" w:hAnsi="Arial" w:cs="Arial"/>
                <w:sz w:val="21"/>
                <w:szCs w:val="21"/>
              </w:rPr>
              <w:t>1989</w:t>
            </w:r>
          </w:p>
        </w:tc>
        <w:tc>
          <w:tcPr>
            <w:tcW w:w="2520" w:type="dxa"/>
          </w:tcPr>
          <w:p w:rsidR="001C0D62" w:rsidRDefault="001C0D62">
            <w:pPr>
              <w:jc w:val="center"/>
              <w:rPr>
                <w:rFonts w:ascii="Arial" w:hAnsi="Arial" w:cs="Arial"/>
                <w:sz w:val="21"/>
                <w:szCs w:val="21"/>
              </w:rPr>
            </w:pPr>
            <w:r>
              <w:rPr>
                <w:rFonts w:ascii="Arial" w:hAnsi="Arial" w:cs="Arial"/>
                <w:sz w:val="21"/>
                <w:szCs w:val="21"/>
              </w:rPr>
              <w:t>1.61</w:t>
            </w:r>
          </w:p>
        </w:tc>
        <w:tc>
          <w:tcPr>
            <w:tcW w:w="2520" w:type="dxa"/>
          </w:tcPr>
          <w:p w:rsidR="001C0D62" w:rsidRDefault="001C0D62">
            <w:pPr>
              <w:jc w:val="center"/>
              <w:rPr>
                <w:rFonts w:ascii="Arial" w:hAnsi="Arial" w:cs="Arial"/>
                <w:sz w:val="21"/>
                <w:szCs w:val="21"/>
              </w:rPr>
            </w:pPr>
            <w:r>
              <w:rPr>
                <w:rFonts w:ascii="Arial" w:hAnsi="Arial" w:cs="Arial"/>
                <w:sz w:val="21"/>
                <w:szCs w:val="21"/>
              </w:rPr>
              <w:t>2.04</w:t>
            </w:r>
          </w:p>
        </w:tc>
        <w:tc>
          <w:tcPr>
            <w:tcW w:w="2520" w:type="dxa"/>
          </w:tcPr>
          <w:p w:rsidR="001C0D62" w:rsidRDefault="001C0D62">
            <w:pPr>
              <w:jc w:val="center"/>
              <w:rPr>
                <w:rFonts w:ascii="Arial" w:hAnsi="Arial" w:cs="Arial"/>
                <w:sz w:val="21"/>
                <w:szCs w:val="21"/>
              </w:rPr>
            </w:pPr>
            <w:r>
              <w:rPr>
                <w:rFonts w:ascii="Arial" w:hAnsi="Arial" w:cs="Arial"/>
                <w:sz w:val="21"/>
                <w:szCs w:val="21"/>
              </w:rPr>
              <w:t>1.64</w:t>
            </w:r>
          </w:p>
        </w:tc>
      </w:tr>
      <w:tr w:rsidR="001C0D62">
        <w:tblPrEx>
          <w:tblCellMar>
            <w:top w:w="0" w:type="dxa"/>
            <w:bottom w:w="0" w:type="dxa"/>
          </w:tblCellMar>
        </w:tblPrEx>
        <w:tc>
          <w:tcPr>
            <w:tcW w:w="1188" w:type="dxa"/>
          </w:tcPr>
          <w:p w:rsidR="001C0D62" w:rsidRDefault="001C0D62">
            <w:pPr>
              <w:jc w:val="center"/>
              <w:rPr>
                <w:rFonts w:ascii="Arial" w:hAnsi="Arial" w:cs="Arial"/>
                <w:sz w:val="21"/>
                <w:szCs w:val="21"/>
              </w:rPr>
            </w:pPr>
            <w:r>
              <w:rPr>
                <w:rFonts w:ascii="Arial" w:hAnsi="Arial" w:cs="Arial"/>
                <w:sz w:val="21"/>
                <w:szCs w:val="21"/>
              </w:rPr>
              <w:t>1990</w:t>
            </w:r>
          </w:p>
        </w:tc>
        <w:tc>
          <w:tcPr>
            <w:tcW w:w="2520" w:type="dxa"/>
          </w:tcPr>
          <w:p w:rsidR="001C0D62" w:rsidRDefault="001C0D62">
            <w:pPr>
              <w:jc w:val="center"/>
              <w:rPr>
                <w:rFonts w:ascii="Arial" w:hAnsi="Arial" w:cs="Arial"/>
                <w:sz w:val="21"/>
                <w:szCs w:val="21"/>
              </w:rPr>
            </w:pPr>
            <w:r>
              <w:rPr>
                <w:rFonts w:ascii="Arial" w:hAnsi="Arial" w:cs="Arial"/>
                <w:sz w:val="21"/>
                <w:szCs w:val="21"/>
              </w:rPr>
              <w:t>1.62</w:t>
            </w:r>
          </w:p>
        </w:tc>
        <w:tc>
          <w:tcPr>
            <w:tcW w:w="2520" w:type="dxa"/>
          </w:tcPr>
          <w:p w:rsidR="001C0D62" w:rsidRDefault="001C0D62">
            <w:pPr>
              <w:jc w:val="center"/>
              <w:rPr>
                <w:rFonts w:ascii="Arial" w:hAnsi="Arial" w:cs="Arial"/>
                <w:sz w:val="21"/>
                <w:szCs w:val="21"/>
              </w:rPr>
            </w:pPr>
            <w:r>
              <w:rPr>
                <w:rFonts w:ascii="Arial" w:hAnsi="Arial" w:cs="Arial"/>
                <w:sz w:val="21"/>
                <w:szCs w:val="21"/>
              </w:rPr>
              <w:t>2.11</w:t>
            </w:r>
          </w:p>
        </w:tc>
        <w:tc>
          <w:tcPr>
            <w:tcW w:w="2520" w:type="dxa"/>
          </w:tcPr>
          <w:p w:rsidR="001C0D62" w:rsidRDefault="001C0D62">
            <w:pPr>
              <w:jc w:val="center"/>
              <w:rPr>
                <w:rFonts w:ascii="Arial" w:hAnsi="Arial" w:cs="Arial"/>
                <w:sz w:val="21"/>
                <w:szCs w:val="21"/>
              </w:rPr>
            </w:pPr>
            <w:r>
              <w:rPr>
                <w:rFonts w:ascii="Arial" w:hAnsi="Arial" w:cs="Arial"/>
                <w:sz w:val="21"/>
                <w:szCs w:val="21"/>
              </w:rPr>
              <w:t>1.63</w:t>
            </w:r>
          </w:p>
        </w:tc>
      </w:tr>
      <w:tr w:rsidR="001C0D62">
        <w:tblPrEx>
          <w:tblCellMar>
            <w:top w:w="0" w:type="dxa"/>
            <w:bottom w:w="0" w:type="dxa"/>
          </w:tblCellMar>
        </w:tblPrEx>
        <w:tc>
          <w:tcPr>
            <w:tcW w:w="1188" w:type="dxa"/>
          </w:tcPr>
          <w:p w:rsidR="001C0D62" w:rsidRDefault="001C0D62">
            <w:pPr>
              <w:jc w:val="center"/>
              <w:rPr>
                <w:rFonts w:ascii="Arial" w:hAnsi="Arial" w:cs="Arial"/>
                <w:sz w:val="21"/>
                <w:szCs w:val="21"/>
              </w:rPr>
            </w:pPr>
            <w:r>
              <w:rPr>
                <w:rFonts w:ascii="Arial" w:hAnsi="Arial" w:cs="Arial"/>
                <w:sz w:val="21"/>
                <w:szCs w:val="21"/>
              </w:rPr>
              <w:t>1991</w:t>
            </w:r>
          </w:p>
        </w:tc>
        <w:tc>
          <w:tcPr>
            <w:tcW w:w="2520" w:type="dxa"/>
          </w:tcPr>
          <w:p w:rsidR="001C0D62" w:rsidRDefault="001C0D62">
            <w:pPr>
              <w:jc w:val="center"/>
              <w:rPr>
                <w:rFonts w:ascii="Arial" w:hAnsi="Arial" w:cs="Arial"/>
                <w:sz w:val="21"/>
                <w:szCs w:val="21"/>
              </w:rPr>
            </w:pPr>
            <w:r>
              <w:rPr>
                <w:rFonts w:ascii="Arial" w:hAnsi="Arial" w:cs="Arial"/>
                <w:sz w:val="21"/>
                <w:szCs w:val="21"/>
              </w:rPr>
              <w:t>1.61</w:t>
            </w:r>
          </w:p>
        </w:tc>
        <w:tc>
          <w:tcPr>
            <w:tcW w:w="2520" w:type="dxa"/>
          </w:tcPr>
          <w:p w:rsidR="001C0D62" w:rsidRDefault="001C0D62">
            <w:pPr>
              <w:jc w:val="center"/>
              <w:rPr>
                <w:rFonts w:ascii="Arial" w:hAnsi="Arial" w:cs="Arial"/>
                <w:sz w:val="21"/>
                <w:szCs w:val="21"/>
              </w:rPr>
            </w:pPr>
            <w:r>
              <w:rPr>
                <w:rFonts w:ascii="Arial" w:hAnsi="Arial" w:cs="Arial"/>
                <w:sz w:val="21"/>
                <w:szCs w:val="21"/>
              </w:rPr>
              <w:t>2.15</w:t>
            </w:r>
          </w:p>
        </w:tc>
        <w:tc>
          <w:tcPr>
            <w:tcW w:w="2520" w:type="dxa"/>
          </w:tcPr>
          <w:p w:rsidR="001C0D62" w:rsidRDefault="001C0D62">
            <w:pPr>
              <w:jc w:val="center"/>
              <w:rPr>
                <w:rFonts w:ascii="Arial" w:hAnsi="Arial" w:cs="Arial"/>
                <w:sz w:val="21"/>
                <w:szCs w:val="21"/>
              </w:rPr>
            </w:pPr>
            <w:r>
              <w:rPr>
                <w:rFonts w:ascii="Arial" w:hAnsi="Arial" w:cs="Arial"/>
                <w:sz w:val="21"/>
                <w:szCs w:val="21"/>
              </w:rPr>
              <w:t>1.62</w:t>
            </w:r>
          </w:p>
        </w:tc>
      </w:tr>
      <w:tr w:rsidR="001C0D62">
        <w:tblPrEx>
          <w:tblCellMar>
            <w:top w:w="0" w:type="dxa"/>
            <w:bottom w:w="0" w:type="dxa"/>
          </w:tblCellMar>
        </w:tblPrEx>
        <w:tc>
          <w:tcPr>
            <w:tcW w:w="1188" w:type="dxa"/>
          </w:tcPr>
          <w:p w:rsidR="001C0D62" w:rsidRDefault="001C0D62">
            <w:pPr>
              <w:jc w:val="center"/>
              <w:rPr>
                <w:rFonts w:ascii="Arial" w:hAnsi="Arial" w:cs="Arial"/>
                <w:sz w:val="21"/>
                <w:szCs w:val="21"/>
              </w:rPr>
            </w:pPr>
            <w:r>
              <w:rPr>
                <w:rFonts w:ascii="Arial" w:hAnsi="Arial" w:cs="Arial"/>
                <w:sz w:val="21"/>
                <w:szCs w:val="21"/>
              </w:rPr>
              <w:t>1992</w:t>
            </w:r>
          </w:p>
        </w:tc>
        <w:tc>
          <w:tcPr>
            <w:tcW w:w="2520" w:type="dxa"/>
          </w:tcPr>
          <w:p w:rsidR="001C0D62" w:rsidRDefault="001C0D62">
            <w:pPr>
              <w:jc w:val="center"/>
              <w:rPr>
                <w:rFonts w:ascii="Arial" w:hAnsi="Arial" w:cs="Arial"/>
                <w:sz w:val="21"/>
                <w:szCs w:val="21"/>
              </w:rPr>
            </w:pPr>
            <w:r>
              <w:rPr>
                <w:rFonts w:ascii="Arial" w:hAnsi="Arial" w:cs="Arial"/>
                <w:sz w:val="21"/>
                <w:szCs w:val="21"/>
              </w:rPr>
              <w:t>1.54</w:t>
            </w:r>
          </w:p>
        </w:tc>
        <w:tc>
          <w:tcPr>
            <w:tcW w:w="2520" w:type="dxa"/>
          </w:tcPr>
          <w:p w:rsidR="001C0D62" w:rsidRDefault="001C0D62">
            <w:pPr>
              <w:jc w:val="center"/>
              <w:rPr>
                <w:rFonts w:ascii="Arial" w:hAnsi="Arial" w:cs="Arial"/>
                <w:sz w:val="21"/>
                <w:szCs w:val="21"/>
              </w:rPr>
            </w:pPr>
            <w:r>
              <w:rPr>
                <w:rFonts w:ascii="Arial" w:hAnsi="Arial" w:cs="Arial"/>
                <w:sz w:val="21"/>
                <w:szCs w:val="21"/>
              </w:rPr>
              <w:t>2.09</w:t>
            </w:r>
          </w:p>
        </w:tc>
        <w:tc>
          <w:tcPr>
            <w:tcW w:w="2520" w:type="dxa"/>
          </w:tcPr>
          <w:p w:rsidR="001C0D62" w:rsidRDefault="001C0D62">
            <w:pPr>
              <w:jc w:val="center"/>
              <w:rPr>
                <w:rFonts w:ascii="Arial" w:hAnsi="Arial" w:cs="Arial"/>
                <w:sz w:val="21"/>
                <w:szCs w:val="21"/>
              </w:rPr>
            </w:pPr>
            <w:r>
              <w:rPr>
                <w:rFonts w:ascii="Arial" w:hAnsi="Arial" w:cs="Arial"/>
                <w:sz w:val="21"/>
                <w:szCs w:val="21"/>
              </w:rPr>
              <w:t>1.60</w:t>
            </w:r>
          </w:p>
        </w:tc>
      </w:tr>
      <w:tr w:rsidR="001C0D62">
        <w:tblPrEx>
          <w:tblCellMar>
            <w:top w:w="0" w:type="dxa"/>
            <w:bottom w:w="0" w:type="dxa"/>
          </w:tblCellMar>
        </w:tblPrEx>
        <w:tc>
          <w:tcPr>
            <w:tcW w:w="1188" w:type="dxa"/>
          </w:tcPr>
          <w:p w:rsidR="001C0D62" w:rsidRDefault="001C0D62">
            <w:pPr>
              <w:jc w:val="center"/>
              <w:rPr>
                <w:rFonts w:ascii="Arial" w:hAnsi="Arial" w:cs="Arial"/>
                <w:sz w:val="21"/>
                <w:szCs w:val="21"/>
              </w:rPr>
            </w:pPr>
            <w:r>
              <w:rPr>
                <w:rFonts w:ascii="Arial" w:hAnsi="Arial" w:cs="Arial"/>
                <w:sz w:val="21"/>
                <w:szCs w:val="21"/>
              </w:rPr>
              <w:t>1993</w:t>
            </w:r>
          </w:p>
        </w:tc>
        <w:tc>
          <w:tcPr>
            <w:tcW w:w="2520" w:type="dxa"/>
          </w:tcPr>
          <w:p w:rsidR="001C0D62" w:rsidRDefault="001C0D62">
            <w:pPr>
              <w:jc w:val="center"/>
              <w:rPr>
                <w:rFonts w:ascii="Arial" w:hAnsi="Arial" w:cs="Arial"/>
                <w:sz w:val="21"/>
                <w:szCs w:val="21"/>
              </w:rPr>
            </w:pPr>
            <w:r>
              <w:rPr>
                <w:rFonts w:ascii="Arial" w:hAnsi="Arial" w:cs="Arial"/>
                <w:sz w:val="21"/>
                <w:szCs w:val="21"/>
              </w:rPr>
              <w:t>1.53</w:t>
            </w:r>
          </w:p>
        </w:tc>
        <w:tc>
          <w:tcPr>
            <w:tcW w:w="2520" w:type="dxa"/>
          </w:tcPr>
          <w:p w:rsidR="001C0D62" w:rsidRDefault="001C0D62">
            <w:pPr>
              <w:jc w:val="center"/>
              <w:rPr>
                <w:rFonts w:ascii="Arial" w:hAnsi="Arial" w:cs="Arial"/>
                <w:sz w:val="21"/>
                <w:szCs w:val="21"/>
              </w:rPr>
            </w:pPr>
            <w:r>
              <w:rPr>
                <w:rFonts w:ascii="Arial" w:hAnsi="Arial" w:cs="Arial"/>
                <w:sz w:val="21"/>
                <w:szCs w:val="21"/>
              </w:rPr>
              <w:t>2.05</w:t>
            </w:r>
          </w:p>
        </w:tc>
        <w:tc>
          <w:tcPr>
            <w:tcW w:w="2520" w:type="dxa"/>
          </w:tcPr>
          <w:p w:rsidR="001C0D62" w:rsidRDefault="001C0D62">
            <w:pPr>
              <w:jc w:val="center"/>
              <w:rPr>
                <w:rFonts w:ascii="Arial" w:hAnsi="Arial" w:cs="Arial"/>
                <w:sz w:val="21"/>
                <w:szCs w:val="21"/>
              </w:rPr>
            </w:pPr>
            <w:r>
              <w:rPr>
                <w:rFonts w:ascii="Arial" w:hAnsi="Arial" w:cs="Arial"/>
                <w:sz w:val="21"/>
                <w:szCs w:val="21"/>
              </w:rPr>
              <w:t>1.60</w:t>
            </w:r>
          </w:p>
        </w:tc>
      </w:tr>
      <w:tr w:rsidR="001C0D62">
        <w:tblPrEx>
          <w:tblCellMar>
            <w:top w:w="0" w:type="dxa"/>
            <w:bottom w:w="0" w:type="dxa"/>
          </w:tblCellMar>
        </w:tblPrEx>
        <w:tc>
          <w:tcPr>
            <w:tcW w:w="1188" w:type="dxa"/>
          </w:tcPr>
          <w:p w:rsidR="001C0D62" w:rsidRDefault="001C0D62">
            <w:pPr>
              <w:jc w:val="center"/>
              <w:rPr>
                <w:rFonts w:ascii="Arial" w:hAnsi="Arial" w:cs="Arial"/>
                <w:sz w:val="21"/>
                <w:szCs w:val="21"/>
              </w:rPr>
            </w:pPr>
            <w:r>
              <w:rPr>
                <w:rFonts w:ascii="Arial" w:hAnsi="Arial" w:cs="Arial"/>
                <w:sz w:val="21"/>
                <w:szCs w:val="21"/>
              </w:rPr>
              <w:t>1994</w:t>
            </w:r>
          </w:p>
        </w:tc>
        <w:tc>
          <w:tcPr>
            <w:tcW w:w="2520" w:type="dxa"/>
          </w:tcPr>
          <w:p w:rsidR="001C0D62" w:rsidRDefault="001C0D62">
            <w:pPr>
              <w:jc w:val="center"/>
              <w:rPr>
                <w:rFonts w:ascii="Arial" w:hAnsi="Arial" w:cs="Arial"/>
                <w:sz w:val="21"/>
                <w:szCs w:val="21"/>
              </w:rPr>
            </w:pPr>
            <w:r>
              <w:rPr>
                <w:rFonts w:ascii="Arial" w:hAnsi="Arial" w:cs="Arial"/>
                <w:sz w:val="21"/>
                <w:szCs w:val="21"/>
              </w:rPr>
              <w:t>1.68</w:t>
            </w:r>
          </w:p>
        </w:tc>
        <w:tc>
          <w:tcPr>
            <w:tcW w:w="2520" w:type="dxa"/>
          </w:tcPr>
          <w:p w:rsidR="001C0D62" w:rsidRDefault="001C0D62">
            <w:pPr>
              <w:jc w:val="center"/>
              <w:rPr>
                <w:rFonts w:ascii="Arial" w:hAnsi="Arial" w:cs="Arial"/>
                <w:sz w:val="21"/>
                <w:szCs w:val="21"/>
              </w:rPr>
            </w:pPr>
            <w:r>
              <w:rPr>
                <w:rFonts w:ascii="Arial" w:hAnsi="Arial" w:cs="Arial"/>
                <w:sz w:val="21"/>
                <w:szCs w:val="21"/>
              </w:rPr>
              <w:t>2.06</w:t>
            </w:r>
          </w:p>
        </w:tc>
        <w:tc>
          <w:tcPr>
            <w:tcW w:w="2520" w:type="dxa"/>
          </w:tcPr>
          <w:p w:rsidR="001C0D62" w:rsidRDefault="001C0D62">
            <w:pPr>
              <w:jc w:val="center"/>
              <w:rPr>
                <w:rFonts w:ascii="Arial" w:hAnsi="Arial" w:cs="Arial"/>
                <w:sz w:val="21"/>
                <w:szCs w:val="21"/>
              </w:rPr>
            </w:pPr>
            <w:r>
              <w:rPr>
                <w:rFonts w:ascii="Arial" w:hAnsi="Arial" w:cs="Arial"/>
                <w:sz w:val="21"/>
                <w:szCs w:val="21"/>
              </w:rPr>
              <w:t>1.57</w:t>
            </w:r>
          </w:p>
        </w:tc>
      </w:tr>
      <w:tr w:rsidR="001C0D62">
        <w:tblPrEx>
          <w:tblCellMar>
            <w:top w:w="0" w:type="dxa"/>
            <w:bottom w:w="0" w:type="dxa"/>
          </w:tblCellMar>
        </w:tblPrEx>
        <w:tc>
          <w:tcPr>
            <w:tcW w:w="1188" w:type="dxa"/>
          </w:tcPr>
          <w:p w:rsidR="001C0D62" w:rsidRDefault="001C0D62">
            <w:pPr>
              <w:jc w:val="center"/>
              <w:rPr>
                <w:rFonts w:ascii="Arial" w:hAnsi="Arial" w:cs="Arial"/>
                <w:sz w:val="21"/>
                <w:szCs w:val="21"/>
              </w:rPr>
            </w:pPr>
            <w:r>
              <w:rPr>
                <w:rFonts w:ascii="Arial" w:hAnsi="Arial" w:cs="Arial"/>
                <w:sz w:val="21"/>
                <w:szCs w:val="21"/>
              </w:rPr>
              <w:t>1995</w:t>
            </w:r>
          </w:p>
        </w:tc>
        <w:tc>
          <w:tcPr>
            <w:tcW w:w="2520" w:type="dxa"/>
          </w:tcPr>
          <w:p w:rsidR="001C0D62" w:rsidRDefault="001C0D62">
            <w:pPr>
              <w:jc w:val="center"/>
              <w:rPr>
                <w:rFonts w:ascii="Arial" w:hAnsi="Arial" w:cs="Arial"/>
                <w:sz w:val="21"/>
                <w:szCs w:val="21"/>
              </w:rPr>
            </w:pPr>
            <w:r>
              <w:rPr>
                <w:rFonts w:ascii="Arial" w:hAnsi="Arial" w:cs="Arial"/>
                <w:sz w:val="21"/>
                <w:szCs w:val="21"/>
              </w:rPr>
              <w:t>1.66</w:t>
            </w:r>
          </w:p>
        </w:tc>
        <w:tc>
          <w:tcPr>
            <w:tcW w:w="2520" w:type="dxa"/>
          </w:tcPr>
          <w:p w:rsidR="001C0D62" w:rsidRDefault="001C0D62">
            <w:pPr>
              <w:jc w:val="center"/>
              <w:rPr>
                <w:rFonts w:ascii="Arial" w:hAnsi="Arial" w:cs="Arial"/>
                <w:sz w:val="21"/>
                <w:szCs w:val="21"/>
              </w:rPr>
            </w:pPr>
            <w:r>
              <w:rPr>
                <w:rFonts w:ascii="Arial" w:hAnsi="Arial" w:cs="Arial"/>
                <w:sz w:val="21"/>
                <w:szCs w:val="21"/>
              </w:rPr>
              <w:t>2.05</w:t>
            </w:r>
          </w:p>
        </w:tc>
        <w:tc>
          <w:tcPr>
            <w:tcW w:w="2520" w:type="dxa"/>
          </w:tcPr>
          <w:p w:rsidR="001C0D62" w:rsidRDefault="001C0D62">
            <w:pPr>
              <w:jc w:val="center"/>
              <w:rPr>
                <w:rFonts w:ascii="Arial" w:hAnsi="Arial" w:cs="Arial"/>
                <w:sz w:val="21"/>
                <w:szCs w:val="21"/>
              </w:rPr>
            </w:pPr>
            <w:r>
              <w:rPr>
                <w:rFonts w:ascii="Arial" w:hAnsi="Arial" w:cs="Arial"/>
                <w:sz w:val="21"/>
                <w:szCs w:val="21"/>
              </w:rPr>
              <w:t>1.59</w:t>
            </w:r>
          </w:p>
        </w:tc>
      </w:tr>
      <w:tr w:rsidR="001C0D62">
        <w:tblPrEx>
          <w:tblCellMar>
            <w:top w:w="0" w:type="dxa"/>
            <w:bottom w:w="0" w:type="dxa"/>
          </w:tblCellMar>
        </w:tblPrEx>
        <w:tc>
          <w:tcPr>
            <w:tcW w:w="1188" w:type="dxa"/>
          </w:tcPr>
          <w:p w:rsidR="001C0D62" w:rsidRDefault="001C0D62">
            <w:pPr>
              <w:jc w:val="center"/>
              <w:rPr>
                <w:rFonts w:ascii="Arial" w:hAnsi="Arial" w:cs="Arial"/>
                <w:sz w:val="21"/>
                <w:szCs w:val="21"/>
              </w:rPr>
            </w:pPr>
            <w:r>
              <w:rPr>
                <w:rFonts w:ascii="Arial" w:hAnsi="Arial" w:cs="Arial"/>
                <w:sz w:val="21"/>
                <w:szCs w:val="21"/>
              </w:rPr>
              <w:t>1996</w:t>
            </w:r>
          </w:p>
        </w:tc>
        <w:tc>
          <w:tcPr>
            <w:tcW w:w="2520" w:type="dxa"/>
          </w:tcPr>
          <w:p w:rsidR="001C0D62" w:rsidRDefault="001C0D62">
            <w:pPr>
              <w:jc w:val="center"/>
              <w:rPr>
                <w:rFonts w:ascii="Arial" w:hAnsi="Arial" w:cs="Arial"/>
                <w:sz w:val="21"/>
                <w:szCs w:val="21"/>
              </w:rPr>
            </w:pPr>
            <w:r>
              <w:rPr>
                <w:rFonts w:ascii="Arial" w:hAnsi="Arial" w:cs="Arial"/>
                <w:sz w:val="21"/>
                <w:szCs w:val="21"/>
              </w:rPr>
              <w:t>1.63</w:t>
            </w:r>
          </w:p>
        </w:tc>
        <w:tc>
          <w:tcPr>
            <w:tcW w:w="2520" w:type="dxa"/>
          </w:tcPr>
          <w:p w:rsidR="001C0D62" w:rsidRDefault="001C0D62">
            <w:pPr>
              <w:jc w:val="center"/>
              <w:rPr>
                <w:rFonts w:ascii="Arial" w:hAnsi="Arial" w:cs="Arial"/>
                <w:sz w:val="21"/>
                <w:szCs w:val="21"/>
              </w:rPr>
            </w:pPr>
            <w:r>
              <w:rPr>
                <w:rFonts w:ascii="Arial" w:hAnsi="Arial" w:cs="Arial"/>
                <w:sz w:val="21"/>
                <w:szCs w:val="21"/>
              </w:rPr>
              <w:t>2.06</w:t>
            </w:r>
          </w:p>
        </w:tc>
        <w:tc>
          <w:tcPr>
            <w:tcW w:w="2520" w:type="dxa"/>
          </w:tcPr>
          <w:p w:rsidR="001C0D62" w:rsidRDefault="001C0D62">
            <w:pPr>
              <w:jc w:val="center"/>
              <w:rPr>
                <w:rFonts w:ascii="Arial" w:hAnsi="Arial" w:cs="Arial"/>
                <w:sz w:val="21"/>
                <w:szCs w:val="21"/>
              </w:rPr>
            </w:pPr>
            <w:r>
              <w:rPr>
                <w:rFonts w:ascii="Arial" w:hAnsi="Arial" w:cs="Arial"/>
                <w:sz w:val="21"/>
                <w:szCs w:val="21"/>
              </w:rPr>
              <w:t>1.64</w:t>
            </w:r>
          </w:p>
        </w:tc>
      </w:tr>
      <w:tr w:rsidR="001C0D62">
        <w:tblPrEx>
          <w:tblCellMar>
            <w:top w:w="0" w:type="dxa"/>
            <w:bottom w:w="0" w:type="dxa"/>
          </w:tblCellMar>
        </w:tblPrEx>
        <w:tc>
          <w:tcPr>
            <w:tcW w:w="1188" w:type="dxa"/>
          </w:tcPr>
          <w:p w:rsidR="001C0D62" w:rsidRDefault="001C0D62">
            <w:pPr>
              <w:jc w:val="center"/>
              <w:rPr>
                <w:rFonts w:ascii="Arial" w:hAnsi="Arial" w:cs="Arial"/>
                <w:sz w:val="21"/>
                <w:szCs w:val="21"/>
              </w:rPr>
            </w:pPr>
            <w:r>
              <w:rPr>
                <w:rFonts w:ascii="Arial" w:hAnsi="Arial" w:cs="Arial"/>
                <w:sz w:val="21"/>
                <w:szCs w:val="21"/>
              </w:rPr>
              <w:t>1997</w:t>
            </w:r>
          </w:p>
        </w:tc>
        <w:tc>
          <w:tcPr>
            <w:tcW w:w="2520" w:type="dxa"/>
          </w:tcPr>
          <w:p w:rsidR="001C0D62" w:rsidRDefault="001C0D62">
            <w:pPr>
              <w:jc w:val="center"/>
              <w:rPr>
                <w:rFonts w:ascii="Arial" w:hAnsi="Arial" w:cs="Arial"/>
                <w:sz w:val="21"/>
                <w:szCs w:val="21"/>
              </w:rPr>
            </w:pPr>
            <w:r>
              <w:rPr>
                <w:rFonts w:ascii="Arial" w:hAnsi="Arial" w:cs="Arial"/>
                <w:sz w:val="21"/>
                <w:szCs w:val="21"/>
              </w:rPr>
              <w:t>1.69</w:t>
            </w:r>
          </w:p>
        </w:tc>
        <w:tc>
          <w:tcPr>
            <w:tcW w:w="2520" w:type="dxa"/>
          </w:tcPr>
          <w:p w:rsidR="001C0D62" w:rsidRDefault="001C0D62">
            <w:pPr>
              <w:jc w:val="center"/>
              <w:rPr>
                <w:rFonts w:ascii="Arial" w:hAnsi="Arial" w:cs="Arial"/>
                <w:sz w:val="21"/>
                <w:szCs w:val="21"/>
              </w:rPr>
            </w:pPr>
            <w:r>
              <w:rPr>
                <w:rFonts w:ascii="Arial" w:hAnsi="Arial" w:cs="Arial"/>
                <w:sz w:val="21"/>
                <w:szCs w:val="21"/>
              </w:rPr>
              <w:t>2.08</w:t>
            </w:r>
          </w:p>
        </w:tc>
        <w:tc>
          <w:tcPr>
            <w:tcW w:w="2520" w:type="dxa"/>
          </w:tcPr>
          <w:p w:rsidR="001C0D62" w:rsidRDefault="001C0D62">
            <w:pPr>
              <w:jc w:val="center"/>
              <w:rPr>
                <w:rFonts w:ascii="Arial" w:hAnsi="Arial" w:cs="Arial"/>
                <w:sz w:val="21"/>
                <w:szCs w:val="21"/>
              </w:rPr>
            </w:pPr>
            <w:r>
              <w:rPr>
                <w:rFonts w:ascii="Arial" w:hAnsi="Arial" w:cs="Arial"/>
                <w:sz w:val="21"/>
                <w:szCs w:val="21"/>
              </w:rPr>
              <w:t>1.63</w:t>
            </w:r>
          </w:p>
        </w:tc>
      </w:tr>
      <w:tr w:rsidR="001C0D62">
        <w:tblPrEx>
          <w:tblCellMar>
            <w:top w:w="0" w:type="dxa"/>
            <w:bottom w:w="0" w:type="dxa"/>
          </w:tblCellMar>
        </w:tblPrEx>
        <w:tc>
          <w:tcPr>
            <w:tcW w:w="1188" w:type="dxa"/>
          </w:tcPr>
          <w:p w:rsidR="001C0D62" w:rsidRDefault="001C0D62">
            <w:pPr>
              <w:jc w:val="center"/>
              <w:rPr>
                <w:rFonts w:ascii="Arial" w:hAnsi="Arial" w:cs="Arial"/>
                <w:sz w:val="21"/>
                <w:szCs w:val="21"/>
              </w:rPr>
            </w:pPr>
            <w:r>
              <w:rPr>
                <w:rFonts w:ascii="Arial" w:hAnsi="Arial" w:cs="Arial"/>
                <w:sz w:val="21"/>
                <w:szCs w:val="21"/>
              </w:rPr>
              <w:t>1998</w:t>
            </w:r>
          </w:p>
        </w:tc>
        <w:tc>
          <w:tcPr>
            <w:tcW w:w="2520" w:type="dxa"/>
          </w:tcPr>
          <w:p w:rsidR="001C0D62" w:rsidRDefault="001C0D62">
            <w:pPr>
              <w:jc w:val="center"/>
              <w:rPr>
                <w:rFonts w:ascii="Arial" w:hAnsi="Arial" w:cs="Arial"/>
                <w:sz w:val="21"/>
                <w:szCs w:val="21"/>
              </w:rPr>
            </w:pPr>
            <w:r>
              <w:rPr>
                <w:rFonts w:ascii="Arial" w:hAnsi="Arial" w:cs="Arial"/>
                <w:sz w:val="21"/>
                <w:szCs w:val="21"/>
              </w:rPr>
              <w:t>1.69</w:t>
            </w:r>
          </w:p>
        </w:tc>
        <w:tc>
          <w:tcPr>
            <w:tcW w:w="2520" w:type="dxa"/>
          </w:tcPr>
          <w:p w:rsidR="001C0D62" w:rsidRDefault="001C0D62">
            <w:pPr>
              <w:jc w:val="center"/>
              <w:rPr>
                <w:rFonts w:ascii="Arial" w:hAnsi="Arial" w:cs="Arial"/>
                <w:sz w:val="21"/>
                <w:szCs w:val="21"/>
              </w:rPr>
            </w:pPr>
            <w:r>
              <w:rPr>
                <w:rFonts w:ascii="Arial" w:hAnsi="Arial" w:cs="Arial"/>
                <w:sz w:val="21"/>
                <w:szCs w:val="21"/>
              </w:rPr>
              <w:t>2.10</w:t>
            </w:r>
          </w:p>
        </w:tc>
        <w:tc>
          <w:tcPr>
            <w:tcW w:w="2520" w:type="dxa"/>
          </w:tcPr>
          <w:p w:rsidR="001C0D62" w:rsidRDefault="001C0D62">
            <w:pPr>
              <w:jc w:val="center"/>
              <w:rPr>
                <w:rFonts w:ascii="Arial" w:hAnsi="Arial" w:cs="Arial"/>
                <w:sz w:val="21"/>
                <w:szCs w:val="21"/>
              </w:rPr>
            </w:pPr>
            <w:r>
              <w:rPr>
                <w:rFonts w:ascii="Arial" w:hAnsi="Arial" w:cs="Arial"/>
                <w:sz w:val="21"/>
                <w:szCs w:val="21"/>
              </w:rPr>
              <w:t>1.58</w:t>
            </w:r>
          </w:p>
        </w:tc>
      </w:tr>
      <w:tr w:rsidR="001C0D62">
        <w:tblPrEx>
          <w:tblCellMar>
            <w:top w:w="0" w:type="dxa"/>
            <w:bottom w:w="0" w:type="dxa"/>
          </w:tblCellMar>
        </w:tblPrEx>
        <w:tc>
          <w:tcPr>
            <w:tcW w:w="1188" w:type="dxa"/>
          </w:tcPr>
          <w:p w:rsidR="001C0D62" w:rsidRDefault="001C0D62">
            <w:pPr>
              <w:jc w:val="center"/>
              <w:rPr>
                <w:rFonts w:ascii="Arial" w:hAnsi="Arial" w:cs="Arial"/>
                <w:sz w:val="21"/>
                <w:szCs w:val="21"/>
              </w:rPr>
            </w:pPr>
            <w:r>
              <w:rPr>
                <w:rFonts w:ascii="Arial" w:hAnsi="Arial" w:cs="Arial"/>
                <w:sz w:val="21"/>
                <w:szCs w:val="21"/>
              </w:rPr>
              <w:t>1999</w:t>
            </w:r>
          </w:p>
        </w:tc>
        <w:tc>
          <w:tcPr>
            <w:tcW w:w="2520" w:type="dxa"/>
          </w:tcPr>
          <w:p w:rsidR="001C0D62" w:rsidRDefault="001C0D62">
            <w:pPr>
              <w:jc w:val="center"/>
              <w:rPr>
                <w:rFonts w:ascii="Arial" w:hAnsi="Arial" w:cs="Arial"/>
                <w:sz w:val="21"/>
                <w:szCs w:val="21"/>
              </w:rPr>
            </w:pPr>
            <w:r>
              <w:rPr>
                <w:rFonts w:ascii="Arial" w:hAnsi="Arial" w:cs="Arial"/>
                <w:sz w:val="21"/>
                <w:szCs w:val="21"/>
              </w:rPr>
              <w:t>1.76</w:t>
            </w:r>
          </w:p>
        </w:tc>
        <w:tc>
          <w:tcPr>
            <w:tcW w:w="2520" w:type="dxa"/>
          </w:tcPr>
          <w:p w:rsidR="001C0D62" w:rsidRDefault="001C0D62">
            <w:pPr>
              <w:jc w:val="center"/>
              <w:rPr>
                <w:rFonts w:ascii="Arial" w:hAnsi="Arial" w:cs="Arial"/>
                <w:sz w:val="21"/>
                <w:szCs w:val="21"/>
              </w:rPr>
            </w:pPr>
            <w:r>
              <w:rPr>
                <w:rFonts w:ascii="Arial" w:hAnsi="Arial" w:cs="Arial"/>
                <w:sz w:val="21"/>
                <w:szCs w:val="21"/>
              </w:rPr>
              <w:t>2.10</w:t>
            </w:r>
          </w:p>
        </w:tc>
        <w:tc>
          <w:tcPr>
            <w:tcW w:w="2520" w:type="dxa"/>
          </w:tcPr>
          <w:p w:rsidR="001C0D62" w:rsidRDefault="001C0D62">
            <w:pPr>
              <w:jc w:val="center"/>
              <w:rPr>
                <w:rFonts w:ascii="Arial" w:hAnsi="Arial" w:cs="Arial"/>
                <w:sz w:val="21"/>
                <w:szCs w:val="21"/>
              </w:rPr>
            </w:pPr>
            <w:r>
              <w:rPr>
                <w:rFonts w:ascii="Arial" w:hAnsi="Arial" w:cs="Arial"/>
                <w:sz w:val="21"/>
                <w:szCs w:val="21"/>
              </w:rPr>
              <w:t>1.55</w:t>
            </w:r>
          </w:p>
        </w:tc>
      </w:tr>
      <w:tr w:rsidR="001C0D62">
        <w:tblPrEx>
          <w:tblCellMar>
            <w:top w:w="0" w:type="dxa"/>
            <w:bottom w:w="0" w:type="dxa"/>
          </w:tblCellMar>
        </w:tblPrEx>
        <w:tc>
          <w:tcPr>
            <w:tcW w:w="1188" w:type="dxa"/>
          </w:tcPr>
          <w:p w:rsidR="001C0D62" w:rsidRDefault="001C0D62">
            <w:pPr>
              <w:jc w:val="center"/>
              <w:rPr>
                <w:rFonts w:ascii="Arial" w:hAnsi="Arial" w:cs="Arial"/>
                <w:sz w:val="21"/>
                <w:szCs w:val="21"/>
              </w:rPr>
            </w:pPr>
            <w:r>
              <w:rPr>
                <w:rFonts w:ascii="Arial" w:hAnsi="Arial" w:cs="Arial"/>
                <w:sz w:val="21"/>
                <w:szCs w:val="21"/>
              </w:rPr>
              <w:t>2000</w:t>
            </w:r>
          </w:p>
        </w:tc>
        <w:tc>
          <w:tcPr>
            <w:tcW w:w="2520" w:type="dxa"/>
          </w:tcPr>
          <w:p w:rsidR="001C0D62" w:rsidRDefault="001C0D62">
            <w:pPr>
              <w:jc w:val="center"/>
              <w:rPr>
                <w:rFonts w:ascii="Arial" w:hAnsi="Arial" w:cs="Arial"/>
                <w:sz w:val="21"/>
                <w:szCs w:val="21"/>
              </w:rPr>
            </w:pPr>
            <w:r>
              <w:rPr>
                <w:rFonts w:ascii="Arial" w:hAnsi="Arial" w:cs="Arial"/>
                <w:sz w:val="21"/>
                <w:szCs w:val="21"/>
              </w:rPr>
              <w:t>1.66</w:t>
            </w:r>
          </w:p>
        </w:tc>
        <w:tc>
          <w:tcPr>
            <w:tcW w:w="2520" w:type="dxa"/>
          </w:tcPr>
          <w:p w:rsidR="001C0D62" w:rsidRDefault="001C0D62">
            <w:pPr>
              <w:jc w:val="center"/>
              <w:rPr>
                <w:rFonts w:ascii="Arial" w:hAnsi="Arial" w:cs="Arial"/>
                <w:sz w:val="21"/>
                <w:szCs w:val="21"/>
              </w:rPr>
            </w:pPr>
            <w:r>
              <w:rPr>
                <w:rFonts w:ascii="Arial" w:hAnsi="Arial" w:cs="Arial"/>
                <w:sz w:val="21"/>
                <w:szCs w:val="21"/>
              </w:rPr>
              <w:t>2.06</w:t>
            </w:r>
          </w:p>
        </w:tc>
        <w:tc>
          <w:tcPr>
            <w:tcW w:w="2520" w:type="dxa"/>
          </w:tcPr>
          <w:p w:rsidR="001C0D62" w:rsidRDefault="001C0D62">
            <w:pPr>
              <w:jc w:val="center"/>
              <w:rPr>
                <w:rFonts w:ascii="Arial" w:hAnsi="Arial" w:cs="Arial"/>
                <w:sz w:val="21"/>
                <w:szCs w:val="21"/>
              </w:rPr>
            </w:pPr>
            <w:r>
              <w:rPr>
                <w:rFonts w:ascii="Arial" w:hAnsi="Arial" w:cs="Arial"/>
                <w:sz w:val="21"/>
                <w:szCs w:val="21"/>
              </w:rPr>
              <w:t>1.55</w:t>
            </w:r>
          </w:p>
        </w:tc>
      </w:tr>
      <w:tr w:rsidR="001C0D62">
        <w:tblPrEx>
          <w:tblCellMar>
            <w:top w:w="0" w:type="dxa"/>
            <w:bottom w:w="0" w:type="dxa"/>
          </w:tblCellMar>
        </w:tblPrEx>
        <w:tc>
          <w:tcPr>
            <w:tcW w:w="1188" w:type="dxa"/>
          </w:tcPr>
          <w:p w:rsidR="001C0D62" w:rsidRDefault="001C0D62">
            <w:pPr>
              <w:jc w:val="center"/>
              <w:rPr>
                <w:rFonts w:ascii="Arial" w:hAnsi="Arial" w:cs="Arial"/>
                <w:sz w:val="21"/>
                <w:szCs w:val="21"/>
              </w:rPr>
            </w:pPr>
            <w:r>
              <w:rPr>
                <w:rFonts w:ascii="Arial" w:hAnsi="Arial" w:cs="Arial"/>
                <w:sz w:val="21"/>
                <w:szCs w:val="21"/>
              </w:rPr>
              <w:t>2001</w:t>
            </w:r>
          </w:p>
        </w:tc>
        <w:tc>
          <w:tcPr>
            <w:tcW w:w="2520" w:type="dxa"/>
          </w:tcPr>
          <w:p w:rsidR="001C0D62" w:rsidRDefault="001C0D62">
            <w:pPr>
              <w:jc w:val="center"/>
              <w:rPr>
                <w:rFonts w:ascii="Arial" w:hAnsi="Arial" w:cs="Arial"/>
                <w:sz w:val="21"/>
                <w:szCs w:val="21"/>
              </w:rPr>
            </w:pPr>
            <w:r>
              <w:rPr>
                <w:rFonts w:ascii="Arial" w:hAnsi="Arial" w:cs="Arial"/>
                <w:sz w:val="21"/>
                <w:szCs w:val="21"/>
              </w:rPr>
              <w:t>1.72</w:t>
            </w:r>
          </w:p>
        </w:tc>
        <w:tc>
          <w:tcPr>
            <w:tcW w:w="2520" w:type="dxa"/>
          </w:tcPr>
          <w:p w:rsidR="001C0D62" w:rsidRDefault="001C0D62">
            <w:pPr>
              <w:jc w:val="center"/>
              <w:rPr>
                <w:rFonts w:ascii="Arial" w:hAnsi="Arial" w:cs="Arial"/>
                <w:sz w:val="21"/>
                <w:szCs w:val="21"/>
              </w:rPr>
            </w:pPr>
            <w:r>
              <w:rPr>
                <w:rFonts w:ascii="Arial" w:hAnsi="Arial" w:cs="Arial"/>
                <w:sz w:val="21"/>
                <w:szCs w:val="21"/>
              </w:rPr>
              <w:t>2.19</w:t>
            </w:r>
          </w:p>
        </w:tc>
        <w:tc>
          <w:tcPr>
            <w:tcW w:w="2520" w:type="dxa"/>
          </w:tcPr>
          <w:p w:rsidR="001C0D62" w:rsidRDefault="001C0D62">
            <w:pPr>
              <w:jc w:val="center"/>
              <w:rPr>
                <w:rFonts w:ascii="Arial" w:hAnsi="Arial" w:cs="Arial"/>
                <w:sz w:val="21"/>
                <w:szCs w:val="21"/>
              </w:rPr>
            </w:pPr>
            <w:r>
              <w:rPr>
                <w:rFonts w:ascii="Arial" w:hAnsi="Arial" w:cs="Arial"/>
                <w:sz w:val="21"/>
                <w:szCs w:val="21"/>
              </w:rPr>
              <w:t>1.69</w:t>
            </w:r>
          </w:p>
        </w:tc>
      </w:tr>
      <w:tr w:rsidR="001C0D62">
        <w:tblPrEx>
          <w:tblCellMar>
            <w:top w:w="0" w:type="dxa"/>
            <w:bottom w:w="0" w:type="dxa"/>
          </w:tblCellMar>
        </w:tblPrEx>
        <w:tc>
          <w:tcPr>
            <w:tcW w:w="1188" w:type="dxa"/>
          </w:tcPr>
          <w:p w:rsidR="001C0D62" w:rsidRDefault="001C0D62">
            <w:pPr>
              <w:jc w:val="center"/>
              <w:rPr>
                <w:rFonts w:ascii="Arial" w:hAnsi="Arial" w:cs="Arial"/>
                <w:sz w:val="21"/>
                <w:szCs w:val="21"/>
              </w:rPr>
            </w:pPr>
            <w:r>
              <w:rPr>
                <w:rFonts w:ascii="Arial" w:hAnsi="Arial" w:cs="Arial"/>
                <w:sz w:val="21"/>
                <w:szCs w:val="21"/>
              </w:rPr>
              <w:t>2002</w:t>
            </w:r>
          </w:p>
        </w:tc>
        <w:tc>
          <w:tcPr>
            <w:tcW w:w="2520" w:type="dxa"/>
          </w:tcPr>
          <w:p w:rsidR="001C0D62" w:rsidRDefault="001C0D62">
            <w:pPr>
              <w:jc w:val="center"/>
              <w:rPr>
                <w:rFonts w:ascii="Arial" w:hAnsi="Arial" w:cs="Arial"/>
                <w:sz w:val="21"/>
                <w:szCs w:val="21"/>
              </w:rPr>
            </w:pPr>
            <w:r>
              <w:rPr>
                <w:rFonts w:ascii="Arial" w:hAnsi="Arial" w:cs="Arial"/>
                <w:sz w:val="21"/>
                <w:szCs w:val="21"/>
              </w:rPr>
              <w:t>1.81</w:t>
            </w:r>
          </w:p>
        </w:tc>
        <w:tc>
          <w:tcPr>
            <w:tcW w:w="2520" w:type="dxa"/>
          </w:tcPr>
          <w:p w:rsidR="001C0D62" w:rsidRDefault="001C0D62">
            <w:pPr>
              <w:jc w:val="center"/>
              <w:rPr>
                <w:rFonts w:ascii="Arial" w:hAnsi="Arial" w:cs="Arial"/>
                <w:sz w:val="21"/>
                <w:szCs w:val="21"/>
              </w:rPr>
            </w:pPr>
            <w:r>
              <w:rPr>
                <w:rFonts w:ascii="Arial" w:hAnsi="Arial" w:cs="Arial"/>
                <w:sz w:val="21"/>
                <w:szCs w:val="21"/>
              </w:rPr>
              <w:t>2.18</w:t>
            </w:r>
          </w:p>
        </w:tc>
        <w:tc>
          <w:tcPr>
            <w:tcW w:w="2520" w:type="dxa"/>
          </w:tcPr>
          <w:p w:rsidR="001C0D62" w:rsidRDefault="001C0D62">
            <w:pPr>
              <w:jc w:val="center"/>
              <w:rPr>
                <w:rFonts w:ascii="Arial" w:hAnsi="Arial" w:cs="Arial"/>
                <w:sz w:val="21"/>
                <w:szCs w:val="21"/>
              </w:rPr>
            </w:pPr>
            <w:r>
              <w:rPr>
                <w:rFonts w:ascii="Arial" w:hAnsi="Arial" w:cs="Arial"/>
                <w:sz w:val="21"/>
                <w:szCs w:val="21"/>
              </w:rPr>
              <w:t>1.64</w:t>
            </w:r>
          </w:p>
        </w:tc>
      </w:tr>
      <w:tr w:rsidR="001C0D62">
        <w:tblPrEx>
          <w:tblCellMar>
            <w:top w:w="0" w:type="dxa"/>
            <w:bottom w:w="0" w:type="dxa"/>
          </w:tblCellMar>
        </w:tblPrEx>
        <w:tc>
          <w:tcPr>
            <w:tcW w:w="1188" w:type="dxa"/>
          </w:tcPr>
          <w:p w:rsidR="001C0D62" w:rsidRDefault="001C0D62">
            <w:pPr>
              <w:jc w:val="center"/>
              <w:rPr>
                <w:rFonts w:ascii="Arial" w:hAnsi="Arial" w:cs="Arial"/>
                <w:sz w:val="21"/>
                <w:szCs w:val="21"/>
              </w:rPr>
            </w:pPr>
            <w:r>
              <w:rPr>
                <w:rFonts w:ascii="Arial" w:hAnsi="Arial" w:cs="Arial"/>
                <w:sz w:val="21"/>
                <w:szCs w:val="21"/>
              </w:rPr>
              <w:t>2003</w:t>
            </w:r>
          </w:p>
        </w:tc>
        <w:tc>
          <w:tcPr>
            <w:tcW w:w="2520" w:type="dxa"/>
          </w:tcPr>
          <w:p w:rsidR="001C0D62" w:rsidRDefault="001C0D62">
            <w:pPr>
              <w:jc w:val="center"/>
              <w:rPr>
                <w:rFonts w:ascii="Arial" w:hAnsi="Arial" w:cs="Arial"/>
                <w:sz w:val="21"/>
                <w:szCs w:val="21"/>
              </w:rPr>
            </w:pPr>
            <w:r>
              <w:rPr>
                <w:rFonts w:ascii="Arial" w:hAnsi="Arial" w:cs="Arial"/>
                <w:sz w:val="21"/>
                <w:szCs w:val="21"/>
              </w:rPr>
              <w:t>1.71</w:t>
            </w:r>
          </w:p>
        </w:tc>
        <w:tc>
          <w:tcPr>
            <w:tcW w:w="2520" w:type="dxa"/>
          </w:tcPr>
          <w:p w:rsidR="001C0D62" w:rsidRDefault="001C0D62">
            <w:pPr>
              <w:jc w:val="center"/>
              <w:rPr>
                <w:rFonts w:ascii="Arial" w:hAnsi="Arial" w:cs="Arial"/>
                <w:sz w:val="21"/>
                <w:szCs w:val="21"/>
              </w:rPr>
            </w:pPr>
            <w:r>
              <w:rPr>
                <w:rFonts w:ascii="Arial" w:hAnsi="Arial" w:cs="Arial"/>
                <w:sz w:val="21"/>
                <w:szCs w:val="21"/>
              </w:rPr>
              <w:t>2.11</w:t>
            </w:r>
          </w:p>
        </w:tc>
        <w:tc>
          <w:tcPr>
            <w:tcW w:w="2520" w:type="dxa"/>
          </w:tcPr>
          <w:p w:rsidR="001C0D62" w:rsidRDefault="001C0D62">
            <w:pPr>
              <w:jc w:val="center"/>
              <w:rPr>
                <w:rFonts w:ascii="Arial" w:hAnsi="Arial" w:cs="Arial"/>
                <w:sz w:val="21"/>
                <w:szCs w:val="21"/>
              </w:rPr>
            </w:pPr>
            <w:r>
              <w:rPr>
                <w:rFonts w:ascii="Arial" w:hAnsi="Arial" w:cs="Arial"/>
                <w:sz w:val="21"/>
                <w:szCs w:val="21"/>
              </w:rPr>
              <w:t>1.56</w:t>
            </w:r>
          </w:p>
        </w:tc>
      </w:tr>
      <w:tr w:rsidR="001C0D62">
        <w:tblPrEx>
          <w:tblCellMar>
            <w:top w:w="0" w:type="dxa"/>
            <w:bottom w:w="0" w:type="dxa"/>
          </w:tblCellMar>
        </w:tblPrEx>
        <w:tc>
          <w:tcPr>
            <w:tcW w:w="1188" w:type="dxa"/>
          </w:tcPr>
          <w:p w:rsidR="001C0D62" w:rsidRDefault="001C0D62">
            <w:pPr>
              <w:jc w:val="center"/>
              <w:rPr>
                <w:rFonts w:ascii="Arial" w:hAnsi="Arial" w:cs="Arial"/>
                <w:sz w:val="21"/>
                <w:szCs w:val="21"/>
              </w:rPr>
            </w:pPr>
            <w:r>
              <w:rPr>
                <w:rFonts w:ascii="Arial" w:hAnsi="Arial" w:cs="Arial"/>
                <w:sz w:val="21"/>
                <w:szCs w:val="21"/>
              </w:rPr>
              <w:t>2004</w:t>
            </w:r>
          </w:p>
        </w:tc>
        <w:tc>
          <w:tcPr>
            <w:tcW w:w="2520" w:type="dxa"/>
          </w:tcPr>
          <w:p w:rsidR="001C0D62" w:rsidRDefault="001C0D62">
            <w:pPr>
              <w:jc w:val="center"/>
              <w:rPr>
                <w:rFonts w:ascii="Arial" w:hAnsi="Arial" w:cs="Arial"/>
                <w:sz w:val="21"/>
                <w:szCs w:val="21"/>
              </w:rPr>
            </w:pPr>
            <w:r>
              <w:rPr>
                <w:rFonts w:ascii="Arial" w:hAnsi="Arial" w:cs="Arial"/>
                <w:sz w:val="21"/>
                <w:szCs w:val="21"/>
              </w:rPr>
              <w:t>1.72</w:t>
            </w:r>
          </w:p>
        </w:tc>
        <w:tc>
          <w:tcPr>
            <w:tcW w:w="2520" w:type="dxa"/>
          </w:tcPr>
          <w:p w:rsidR="001C0D62" w:rsidRDefault="001C0D62">
            <w:pPr>
              <w:jc w:val="center"/>
              <w:rPr>
                <w:rFonts w:ascii="Arial" w:hAnsi="Arial" w:cs="Arial"/>
                <w:sz w:val="21"/>
                <w:szCs w:val="21"/>
              </w:rPr>
            </w:pPr>
            <w:r>
              <w:rPr>
                <w:rFonts w:ascii="Arial" w:hAnsi="Arial" w:cs="Arial"/>
                <w:sz w:val="21"/>
                <w:szCs w:val="21"/>
              </w:rPr>
              <w:t>2.28</w:t>
            </w:r>
          </w:p>
        </w:tc>
        <w:tc>
          <w:tcPr>
            <w:tcW w:w="2520" w:type="dxa"/>
          </w:tcPr>
          <w:p w:rsidR="001C0D62" w:rsidRDefault="001C0D62">
            <w:pPr>
              <w:jc w:val="center"/>
              <w:rPr>
                <w:rFonts w:ascii="Arial" w:hAnsi="Arial" w:cs="Arial"/>
                <w:sz w:val="21"/>
                <w:szCs w:val="21"/>
              </w:rPr>
            </w:pPr>
            <w:r>
              <w:rPr>
                <w:rFonts w:ascii="Arial" w:hAnsi="Arial" w:cs="Arial"/>
                <w:sz w:val="21"/>
                <w:szCs w:val="21"/>
              </w:rPr>
              <w:t>1.57</w:t>
            </w:r>
          </w:p>
        </w:tc>
      </w:tr>
      <w:tr w:rsidR="001C0D62">
        <w:tblPrEx>
          <w:tblCellMar>
            <w:top w:w="0" w:type="dxa"/>
            <w:bottom w:w="0" w:type="dxa"/>
          </w:tblCellMar>
        </w:tblPrEx>
        <w:tc>
          <w:tcPr>
            <w:tcW w:w="1188" w:type="dxa"/>
          </w:tcPr>
          <w:p w:rsidR="001C0D62" w:rsidRDefault="001C0D62">
            <w:pPr>
              <w:jc w:val="center"/>
              <w:rPr>
                <w:rFonts w:ascii="Arial" w:hAnsi="Arial" w:cs="Arial"/>
                <w:sz w:val="21"/>
                <w:szCs w:val="21"/>
              </w:rPr>
            </w:pPr>
            <w:r>
              <w:rPr>
                <w:rFonts w:ascii="Arial" w:hAnsi="Arial" w:cs="Arial"/>
                <w:sz w:val="21"/>
                <w:szCs w:val="21"/>
              </w:rPr>
              <w:t>2005</w:t>
            </w:r>
          </w:p>
        </w:tc>
        <w:tc>
          <w:tcPr>
            <w:tcW w:w="2520" w:type="dxa"/>
          </w:tcPr>
          <w:p w:rsidR="001C0D62" w:rsidRDefault="001C0D62">
            <w:pPr>
              <w:jc w:val="center"/>
              <w:rPr>
                <w:rFonts w:ascii="Arial" w:hAnsi="Arial" w:cs="Arial"/>
                <w:sz w:val="21"/>
                <w:szCs w:val="21"/>
              </w:rPr>
            </w:pPr>
            <w:r>
              <w:rPr>
                <w:rFonts w:ascii="Arial" w:hAnsi="Arial" w:cs="Arial"/>
                <w:sz w:val="21"/>
                <w:szCs w:val="21"/>
              </w:rPr>
              <w:t>1.73</w:t>
            </w:r>
          </w:p>
        </w:tc>
        <w:tc>
          <w:tcPr>
            <w:tcW w:w="2520" w:type="dxa"/>
          </w:tcPr>
          <w:p w:rsidR="001C0D62" w:rsidRDefault="001C0D62">
            <w:pPr>
              <w:jc w:val="center"/>
              <w:rPr>
                <w:rFonts w:ascii="Arial" w:hAnsi="Arial" w:cs="Arial"/>
                <w:sz w:val="21"/>
                <w:szCs w:val="21"/>
              </w:rPr>
            </w:pPr>
            <w:r>
              <w:rPr>
                <w:rFonts w:ascii="Arial" w:hAnsi="Arial" w:cs="Arial"/>
                <w:sz w:val="21"/>
                <w:szCs w:val="21"/>
              </w:rPr>
              <w:t>2.13</w:t>
            </w:r>
          </w:p>
        </w:tc>
        <w:tc>
          <w:tcPr>
            <w:tcW w:w="2520" w:type="dxa"/>
          </w:tcPr>
          <w:p w:rsidR="001C0D62" w:rsidRDefault="001C0D62">
            <w:pPr>
              <w:jc w:val="center"/>
              <w:rPr>
                <w:rFonts w:ascii="Arial" w:hAnsi="Arial" w:cs="Arial"/>
                <w:sz w:val="21"/>
                <w:szCs w:val="21"/>
              </w:rPr>
            </w:pPr>
            <w:r>
              <w:rPr>
                <w:rFonts w:ascii="Arial" w:hAnsi="Arial" w:cs="Arial"/>
                <w:sz w:val="21"/>
                <w:szCs w:val="21"/>
              </w:rPr>
              <w:t>1.47</w:t>
            </w:r>
          </w:p>
        </w:tc>
      </w:tr>
      <w:tr w:rsidR="001C0D62">
        <w:tblPrEx>
          <w:tblCellMar>
            <w:top w:w="0" w:type="dxa"/>
            <w:bottom w:w="0" w:type="dxa"/>
          </w:tblCellMar>
        </w:tblPrEx>
        <w:tc>
          <w:tcPr>
            <w:tcW w:w="1188" w:type="dxa"/>
          </w:tcPr>
          <w:p w:rsidR="001C0D62" w:rsidRDefault="001C0D62">
            <w:pPr>
              <w:jc w:val="center"/>
              <w:rPr>
                <w:rFonts w:ascii="Arial" w:hAnsi="Arial" w:cs="Arial"/>
                <w:sz w:val="21"/>
                <w:szCs w:val="21"/>
              </w:rPr>
            </w:pPr>
            <w:r>
              <w:rPr>
                <w:rFonts w:ascii="Arial" w:hAnsi="Arial" w:cs="Arial"/>
                <w:sz w:val="21"/>
                <w:szCs w:val="21"/>
              </w:rPr>
              <w:t>2006</w:t>
            </w:r>
          </w:p>
        </w:tc>
        <w:tc>
          <w:tcPr>
            <w:tcW w:w="2520" w:type="dxa"/>
          </w:tcPr>
          <w:p w:rsidR="001C0D62" w:rsidRDefault="001C0D62">
            <w:pPr>
              <w:jc w:val="center"/>
              <w:rPr>
                <w:rFonts w:ascii="Arial" w:hAnsi="Arial" w:cs="Arial"/>
                <w:sz w:val="21"/>
                <w:szCs w:val="21"/>
              </w:rPr>
            </w:pPr>
            <w:r>
              <w:rPr>
                <w:rFonts w:ascii="Arial" w:hAnsi="Arial" w:cs="Arial"/>
                <w:sz w:val="21"/>
                <w:szCs w:val="21"/>
              </w:rPr>
              <w:t>1.80</w:t>
            </w:r>
          </w:p>
        </w:tc>
        <w:tc>
          <w:tcPr>
            <w:tcW w:w="2520" w:type="dxa"/>
          </w:tcPr>
          <w:p w:rsidR="001C0D62" w:rsidRDefault="001C0D62">
            <w:pPr>
              <w:jc w:val="center"/>
              <w:rPr>
                <w:rFonts w:ascii="Arial" w:hAnsi="Arial" w:cs="Arial"/>
                <w:sz w:val="21"/>
                <w:szCs w:val="21"/>
              </w:rPr>
            </w:pPr>
            <w:r>
              <w:rPr>
                <w:rFonts w:ascii="Arial" w:hAnsi="Arial" w:cs="Arial"/>
                <w:sz w:val="21"/>
                <w:szCs w:val="21"/>
              </w:rPr>
              <w:t>2.11</w:t>
            </w:r>
          </w:p>
        </w:tc>
        <w:tc>
          <w:tcPr>
            <w:tcW w:w="2520" w:type="dxa"/>
          </w:tcPr>
          <w:p w:rsidR="001C0D62" w:rsidRDefault="001C0D62">
            <w:pPr>
              <w:jc w:val="center"/>
              <w:rPr>
                <w:rFonts w:ascii="Arial" w:hAnsi="Arial" w:cs="Arial"/>
                <w:sz w:val="21"/>
                <w:szCs w:val="21"/>
              </w:rPr>
            </w:pPr>
            <w:r>
              <w:rPr>
                <w:rFonts w:ascii="Arial" w:hAnsi="Arial" w:cs="Arial"/>
                <w:sz w:val="21"/>
                <w:szCs w:val="21"/>
              </w:rPr>
              <w:t>1.54</w:t>
            </w:r>
          </w:p>
        </w:tc>
      </w:tr>
      <w:tr w:rsidR="001C0D62">
        <w:tblPrEx>
          <w:tblCellMar>
            <w:top w:w="0" w:type="dxa"/>
            <w:bottom w:w="0" w:type="dxa"/>
          </w:tblCellMar>
        </w:tblPrEx>
        <w:tc>
          <w:tcPr>
            <w:tcW w:w="1188" w:type="dxa"/>
          </w:tcPr>
          <w:p w:rsidR="001C0D62" w:rsidRDefault="001C0D62">
            <w:pPr>
              <w:jc w:val="center"/>
              <w:rPr>
                <w:rFonts w:ascii="Arial" w:hAnsi="Arial" w:cs="Arial"/>
                <w:sz w:val="21"/>
                <w:szCs w:val="21"/>
              </w:rPr>
            </w:pPr>
            <w:r>
              <w:rPr>
                <w:rFonts w:ascii="Arial" w:hAnsi="Arial" w:cs="Arial"/>
                <w:sz w:val="21"/>
                <w:szCs w:val="21"/>
              </w:rPr>
              <w:t>2007</w:t>
            </w:r>
          </w:p>
        </w:tc>
        <w:tc>
          <w:tcPr>
            <w:tcW w:w="2520" w:type="dxa"/>
          </w:tcPr>
          <w:p w:rsidR="001C0D62" w:rsidRDefault="001C0D62">
            <w:pPr>
              <w:jc w:val="center"/>
              <w:rPr>
                <w:rFonts w:ascii="Arial" w:hAnsi="Arial" w:cs="Arial"/>
                <w:sz w:val="21"/>
                <w:szCs w:val="21"/>
              </w:rPr>
            </w:pPr>
            <w:r>
              <w:rPr>
                <w:rFonts w:ascii="Arial" w:hAnsi="Arial" w:cs="Arial"/>
                <w:sz w:val="21"/>
                <w:szCs w:val="21"/>
              </w:rPr>
              <w:t>1.66</w:t>
            </w:r>
          </w:p>
        </w:tc>
        <w:tc>
          <w:tcPr>
            <w:tcW w:w="2520" w:type="dxa"/>
          </w:tcPr>
          <w:p w:rsidR="001C0D62" w:rsidRDefault="001C0D62">
            <w:pPr>
              <w:jc w:val="center"/>
              <w:rPr>
                <w:rFonts w:ascii="Arial" w:hAnsi="Arial" w:cs="Arial"/>
                <w:sz w:val="21"/>
                <w:szCs w:val="21"/>
              </w:rPr>
            </w:pPr>
            <w:r>
              <w:rPr>
                <w:rFonts w:ascii="Arial" w:hAnsi="Arial" w:cs="Arial"/>
                <w:sz w:val="21"/>
                <w:szCs w:val="21"/>
              </w:rPr>
              <w:t>2.07</w:t>
            </w:r>
          </w:p>
        </w:tc>
        <w:tc>
          <w:tcPr>
            <w:tcW w:w="2520" w:type="dxa"/>
          </w:tcPr>
          <w:p w:rsidR="001C0D62" w:rsidRDefault="001C0D62">
            <w:pPr>
              <w:jc w:val="center"/>
              <w:rPr>
                <w:rFonts w:ascii="Arial" w:hAnsi="Arial" w:cs="Arial"/>
                <w:sz w:val="21"/>
                <w:szCs w:val="21"/>
              </w:rPr>
            </w:pPr>
            <w:r>
              <w:rPr>
                <w:rFonts w:ascii="Arial" w:hAnsi="Arial" w:cs="Arial"/>
                <w:sz w:val="21"/>
                <w:szCs w:val="21"/>
              </w:rPr>
              <w:t>1.52</w:t>
            </w:r>
          </w:p>
        </w:tc>
      </w:tr>
      <w:tr w:rsidR="001C0D62">
        <w:tblPrEx>
          <w:tblCellMar>
            <w:top w:w="0" w:type="dxa"/>
            <w:bottom w:w="0" w:type="dxa"/>
          </w:tblCellMar>
        </w:tblPrEx>
        <w:tc>
          <w:tcPr>
            <w:tcW w:w="1188" w:type="dxa"/>
          </w:tcPr>
          <w:p w:rsidR="001C0D62" w:rsidRDefault="001C0D62">
            <w:pPr>
              <w:jc w:val="center"/>
              <w:rPr>
                <w:rFonts w:ascii="Arial" w:hAnsi="Arial" w:cs="Arial"/>
                <w:sz w:val="21"/>
                <w:szCs w:val="21"/>
              </w:rPr>
            </w:pPr>
            <w:r>
              <w:rPr>
                <w:rFonts w:ascii="Arial" w:hAnsi="Arial" w:cs="Arial"/>
                <w:sz w:val="21"/>
                <w:szCs w:val="21"/>
              </w:rPr>
              <w:t>2008</w:t>
            </w:r>
          </w:p>
        </w:tc>
        <w:tc>
          <w:tcPr>
            <w:tcW w:w="2520" w:type="dxa"/>
          </w:tcPr>
          <w:p w:rsidR="001C0D62" w:rsidRDefault="001C0D62">
            <w:pPr>
              <w:jc w:val="center"/>
              <w:rPr>
                <w:rFonts w:ascii="Arial" w:hAnsi="Arial" w:cs="Arial"/>
                <w:sz w:val="21"/>
                <w:szCs w:val="21"/>
              </w:rPr>
            </w:pPr>
            <w:r>
              <w:rPr>
                <w:rFonts w:ascii="Arial" w:hAnsi="Arial" w:cs="Arial"/>
                <w:sz w:val="21"/>
                <w:szCs w:val="21"/>
              </w:rPr>
              <w:t>1.76</w:t>
            </w:r>
          </w:p>
        </w:tc>
        <w:tc>
          <w:tcPr>
            <w:tcW w:w="2520" w:type="dxa"/>
          </w:tcPr>
          <w:p w:rsidR="001C0D62" w:rsidRDefault="001C0D62">
            <w:pPr>
              <w:jc w:val="center"/>
              <w:rPr>
                <w:rFonts w:ascii="Arial" w:hAnsi="Arial" w:cs="Arial"/>
                <w:sz w:val="21"/>
                <w:szCs w:val="21"/>
              </w:rPr>
            </w:pPr>
            <w:r>
              <w:rPr>
                <w:rFonts w:ascii="Arial" w:hAnsi="Arial" w:cs="Arial"/>
                <w:sz w:val="21"/>
                <w:szCs w:val="21"/>
              </w:rPr>
              <w:t>2.06</w:t>
            </w:r>
          </w:p>
        </w:tc>
        <w:tc>
          <w:tcPr>
            <w:tcW w:w="2520" w:type="dxa"/>
          </w:tcPr>
          <w:p w:rsidR="001C0D62" w:rsidRDefault="001C0D62">
            <w:pPr>
              <w:jc w:val="center"/>
              <w:rPr>
                <w:rFonts w:ascii="Arial" w:hAnsi="Arial" w:cs="Arial"/>
                <w:sz w:val="21"/>
                <w:szCs w:val="21"/>
              </w:rPr>
            </w:pPr>
            <w:r>
              <w:rPr>
                <w:rFonts w:ascii="Arial" w:hAnsi="Arial" w:cs="Arial"/>
                <w:sz w:val="21"/>
                <w:szCs w:val="21"/>
              </w:rPr>
              <w:t>1.62</w:t>
            </w:r>
          </w:p>
        </w:tc>
      </w:tr>
      <w:tr w:rsidR="001C0D62">
        <w:tblPrEx>
          <w:tblCellMar>
            <w:top w:w="0" w:type="dxa"/>
            <w:bottom w:w="0" w:type="dxa"/>
          </w:tblCellMar>
        </w:tblPrEx>
        <w:tc>
          <w:tcPr>
            <w:tcW w:w="1188" w:type="dxa"/>
          </w:tcPr>
          <w:p w:rsidR="001C0D62" w:rsidRDefault="001C0D62">
            <w:pPr>
              <w:jc w:val="center"/>
              <w:rPr>
                <w:rFonts w:ascii="Arial" w:hAnsi="Arial" w:cs="Arial"/>
                <w:sz w:val="21"/>
                <w:szCs w:val="21"/>
              </w:rPr>
            </w:pPr>
            <w:r>
              <w:rPr>
                <w:rFonts w:ascii="Arial" w:hAnsi="Arial" w:cs="Arial"/>
                <w:sz w:val="21"/>
                <w:szCs w:val="21"/>
              </w:rPr>
              <w:t>2009</w:t>
            </w:r>
          </w:p>
        </w:tc>
        <w:tc>
          <w:tcPr>
            <w:tcW w:w="2520" w:type="dxa"/>
          </w:tcPr>
          <w:p w:rsidR="001C0D62" w:rsidRDefault="001C0D62">
            <w:pPr>
              <w:jc w:val="center"/>
              <w:rPr>
                <w:rFonts w:ascii="Arial" w:hAnsi="Arial" w:cs="Arial"/>
                <w:sz w:val="21"/>
                <w:szCs w:val="21"/>
              </w:rPr>
            </w:pPr>
            <w:r>
              <w:rPr>
                <w:rFonts w:ascii="Arial" w:hAnsi="Arial" w:cs="Arial"/>
                <w:sz w:val="21"/>
                <w:szCs w:val="21"/>
              </w:rPr>
              <w:t>1.83</w:t>
            </w:r>
          </w:p>
        </w:tc>
        <w:tc>
          <w:tcPr>
            <w:tcW w:w="2520" w:type="dxa"/>
          </w:tcPr>
          <w:p w:rsidR="001C0D62" w:rsidRDefault="001C0D62">
            <w:pPr>
              <w:jc w:val="center"/>
              <w:rPr>
                <w:rFonts w:ascii="Arial" w:hAnsi="Arial" w:cs="Arial"/>
                <w:sz w:val="21"/>
                <w:szCs w:val="21"/>
              </w:rPr>
            </w:pPr>
            <w:r>
              <w:rPr>
                <w:rFonts w:ascii="Arial" w:hAnsi="Arial" w:cs="Arial"/>
                <w:sz w:val="21"/>
                <w:szCs w:val="21"/>
              </w:rPr>
              <w:t>2.08</w:t>
            </w:r>
          </w:p>
        </w:tc>
        <w:tc>
          <w:tcPr>
            <w:tcW w:w="2520" w:type="dxa"/>
          </w:tcPr>
          <w:p w:rsidR="001C0D62" w:rsidRDefault="001C0D62">
            <w:pPr>
              <w:jc w:val="center"/>
              <w:rPr>
                <w:rFonts w:ascii="Arial" w:hAnsi="Arial" w:cs="Arial"/>
                <w:sz w:val="21"/>
                <w:szCs w:val="21"/>
              </w:rPr>
            </w:pPr>
            <w:r>
              <w:rPr>
                <w:rFonts w:ascii="Arial" w:hAnsi="Arial" w:cs="Arial"/>
                <w:sz w:val="21"/>
                <w:szCs w:val="21"/>
              </w:rPr>
              <w:t>1.59</w:t>
            </w:r>
          </w:p>
        </w:tc>
      </w:tr>
      <w:tr w:rsidR="001C0D62">
        <w:tblPrEx>
          <w:tblCellMar>
            <w:top w:w="0" w:type="dxa"/>
            <w:bottom w:w="0" w:type="dxa"/>
          </w:tblCellMar>
        </w:tblPrEx>
        <w:tc>
          <w:tcPr>
            <w:tcW w:w="1188" w:type="dxa"/>
          </w:tcPr>
          <w:p w:rsidR="001C0D62" w:rsidRDefault="001C0D62">
            <w:pPr>
              <w:jc w:val="center"/>
              <w:rPr>
                <w:rFonts w:ascii="Arial" w:hAnsi="Arial" w:cs="Arial"/>
                <w:sz w:val="21"/>
                <w:szCs w:val="21"/>
              </w:rPr>
            </w:pPr>
            <w:r>
              <w:rPr>
                <w:rFonts w:ascii="Arial" w:hAnsi="Arial" w:cs="Arial"/>
                <w:sz w:val="21"/>
                <w:szCs w:val="21"/>
              </w:rPr>
              <w:t>2010</w:t>
            </w:r>
          </w:p>
        </w:tc>
        <w:tc>
          <w:tcPr>
            <w:tcW w:w="2520" w:type="dxa"/>
          </w:tcPr>
          <w:p w:rsidR="001C0D62" w:rsidRDefault="001C0D62">
            <w:pPr>
              <w:jc w:val="center"/>
              <w:rPr>
                <w:rFonts w:ascii="Arial" w:hAnsi="Arial" w:cs="Arial"/>
                <w:sz w:val="21"/>
                <w:szCs w:val="21"/>
              </w:rPr>
            </w:pPr>
            <w:r>
              <w:rPr>
                <w:rFonts w:ascii="Arial" w:hAnsi="Arial" w:cs="Arial"/>
                <w:sz w:val="21"/>
                <w:szCs w:val="21"/>
              </w:rPr>
              <w:t>1.87</w:t>
            </w:r>
          </w:p>
        </w:tc>
        <w:tc>
          <w:tcPr>
            <w:tcW w:w="2520" w:type="dxa"/>
          </w:tcPr>
          <w:p w:rsidR="001C0D62" w:rsidRDefault="001C0D62">
            <w:pPr>
              <w:jc w:val="center"/>
              <w:rPr>
                <w:rFonts w:ascii="Arial" w:hAnsi="Arial" w:cs="Arial"/>
                <w:sz w:val="21"/>
                <w:szCs w:val="21"/>
              </w:rPr>
            </w:pPr>
            <w:r>
              <w:rPr>
                <w:rFonts w:ascii="Arial" w:hAnsi="Arial" w:cs="Arial"/>
                <w:sz w:val="21"/>
                <w:szCs w:val="21"/>
              </w:rPr>
              <w:t>2.04</w:t>
            </w:r>
          </w:p>
        </w:tc>
        <w:tc>
          <w:tcPr>
            <w:tcW w:w="2520" w:type="dxa"/>
          </w:tcPr>
          <w:p w:rsidR="001C0D62" w:rsidRDefault="001C0D62">
            <w:pPr>
              <w:jc w:val="center"/>
              <w:rPr>
                <w:rFonts w:ascii="Arial" w:hAnsi="Arial" w:cs="Arial"/>
                <w:sz w:val="21"/>
                <w:szCs w:val="21"/>
              </w:rPr>
            </w:pPr>
            <w:r>
              <w:rPr>
                <w:rFonts w:ascii="Arial" w:hAnsi="Arial" w:cs="Arial"/>
                <w:sz w:val="21"/>
                <w:szCs w:val="21"/>
              </w:rPr>
              <w:t>1.63</w:t>
            </w:r>
          </w:p>
        </w:tc>
      </w:tr>
      <w:tr w:rsidR="001C0D62">
        <w:tblPrEx>
          <w:tblCellMar>
            <w:top w:w="0" w:type="dxa"/>
            <w:bottom w:w="0" w:type="dxa"/>
          </w:tblCellMar>
        </w:tblPrEx>
        <w:tc>
          <w:tcPr>
            <w:tcW w:w="1188" w:type="dxa"/>
          </w:tcPr>
          <w:p w:rsidR="001C0D62" w:rsidRDefault="001C0D62">
            <w:pPr>
              <w:jc w:val="center"/>
              <w:rPr>
                <w:rFonts w:ascii="Arial" w:hAnsi="Arial" w:cs="Arial"/>
                <w:sz w:val="21"/>
                <w:szCs w:val="21"/>
              </w:rPr>
            </w:pPr>
            <w:r>
              <w:rPr>
                <w:rFonts w:ascii="Arial" w:hAnsi="Arial" w:cs="Arial"/>
                <w:sz w:val="21"/>
                <w:szCs w:val="21"/>
              </w:rPr>
              <w:t>2011</w:t>
            </w:r>
          </w:p>
        </w:tc>
        <w:tc>
          <w:tcPr>
            <w:tcW w:w="2520" w:type="dxa"/>
          </w:tcPr>
          <w:p w:rsidR="001C0D62" w:rsidRDefault="001C0D62">
            <w:pPr>
              <w:jc w:val="center"/>
              <w:rPr>
                <w:rFonts w:ascii="Arial" w:hAnsi="Arial" w:cs="Arial"/>
                <w:sz w:val="21"/>
                <w:szCs w:val="21"/>
              </w:rPr>
            </w:pPr>
            <w:r>
              <w:rPr>
                <w:rFonts w:ascii="Arial" w:hAnsi="Arial" w:cs="Arial"/>
                <w:sz w:val="21"/>
                <w:szCs w:val="21"/>
              </w:rPr>
              <w:t>1.79</w:t>
            </w:r>
          </w:p>
        </w:tc>
        <w:tc>
          <w:tcPr>
            <w:tcW w:w="2520" w:type="dxa"/>
          </w:tcPr>
          <w:p w:rsidR="001C0D62" w:rsidRDefault="001C0D62">
            <w:pPr>
              <w:jc w:val="center"/>
              <w:rPr>
                <w:rFonts w:ascii="Arial" w:hAnsi="Arial" w:cs="Arial"/>
                <w:sz w:val="21"/>
                <w:szCs w:val="21"/>
              </w:rPr>
            </w:pPr>
            <w:r>
              <w:rPr>
                <w:rFonts w:ascii="Arial" w:hAnsi="Arial" w:cs="Arial"/>
                <w:sz w:val="21"/>
                <w:szCs w:val="21"/>
              </w:rPr>
              <w:t>1.99</w:t>
            </w:r>
          </w:p>
        </w:tc>
        <w:tc>
          <w:tcPr>
            <w:tcW w:w="2520" w:type="dxa"/>
          </w:tcPr>
          <w:p w:rsidR="001C0D62" w:rsidRDefault="001C0D62">
            <w:pPr>
              <w:jc w:val="center"/>
              <w:rPr>
                <w:rFonts w:ascii="Arial" w:hAnsi="Arial" w:cs="Arial"/>
                <w:sz w:val="21"/>
                <w:szCs w:val="21"/>
              </w:rPr>
            </w:pPr>
            <w:r>
              <w:rPr>
                <w:rFonts w:ascii="Arial" w:hAnsi="Arial" w:cs="Arial"/>
                <w:sz w:val="21"/>
                <w:szCs w:val="21"/>
              </w:rPr>
              <w:t>1.67</w:t>
            </w:r>
          </w:p>
        </w:tc>
      </w:tr>
      <w:tr w:rsidR="001C0D62">
        <w:tblPrEx>
          <w:tblCellMar>
            <w:top w:w="0" w:type="dxa"/>
            <w:bottom w:w="0" w:type="dxa"/>
          </w:tblCellMar>
        </w:tblPrEx>
        <w:tc>
          <w:tcPr>
            <w:tcW w:w="1188" w:type="dxa"/>
          </w:tcPr>
          <w:p w:rsidR="001C0D62" w:rsidRDefault="001C0D62">
            <w:pPr>
              <w:jc w:val="center"/>
              <w:rPr>
                <w:rFonts w:ascii="Arial" w:hAnsi="Arial" w:cs="Arial"/>
                <w:sz w:val="21"/>
                <w:szCs w:val="21"/>
              </w:rPr>
            </w:pPr>
            <w:r>
              <w:rPr>
                <w:rFonts w:ascii="Arial" w:hAnsi="Arial" w:cs="Arial"/>
                <w:sz w:val="21"/>
                <w:szCs w:val="21"/>
              </w:rPr>
              <w:t>2012</w:t>
            </w:r>
          </w:p>
        </w:tc>
        <w:tc>
          <w:tcPr>
            <w:tcW w:w="2520" w:type="dxa"/>
          </w:tcPr>
          <w:p w:rsidR="001C0D62" w:rsidRDefault="001C0D62">
            <w:pPr>
              <w:jc w:val="center"/>
              <w:rPr>
                <w:rFonts w:ascii="Arial" w:hAnsi="Arial" w:cs="Arial"/>
                <w:sz w:val="21"/>
                <w:szCs w:val="21"/>
              </w:rPr>
            </w:pPr>
            <w:r>
              <w:rPr>
                <w:rFonts w:ascii="Arial" w:hAnsi="Arial" w:cs="Arial"/>
                <w:sz w:val="21"/>
                <w:szCs w:val="21"/>
              </w:rPr>
              <w:t>1.71</w:t>
            </w:r>
          </w:p>
        </w:tc>
        <w:tc>
          <w:tcPr>
            <w:tcW w:w="2520" w:type="dxa"/>
          </w:tcPr>
          <w:p w:rsidR="001C0D62" w:rsidRDefault="001C0D62">
            <w:pPr>
              <w:jc w:val="center"/>
              <w:rPr>
                <w:rFonts w:ascii="Arial" w:hAnsi="Arial" w:cs="Arial"/>
                <w:sz w:val="21"/>
                <w:szCs w:val="21"/>
              </w:rPr>
            </w:pPr>
            <w:r>
              <w:rPr>
                <w:rFonts w:ascii="Arial" w:hAnsi="Arial" w:cs="Arial"/>
                <w:sz w:val="21"/>
                <w:szCs w:val="21"/>
              </w:rPr>
              <w:t>1.94</w:t>
            </w:r>
          </w:p>
        </w:tc>
        <w:tc>
          <w:tcPr>
            <w:tcW w:w="2520" w:type="dxa"/>
          </w:tcPr>
          <w:p w:rsidR="001C0D62" w:rsidRDefault="001C0D62">
            <w:pPr>
              <w:jc w:val="center"/>
              <w:rPr>
                <w:rFonts w:ascii="Arial" w:hAnsi="Arial" w:cs="Arial"/>
                <w:sz w:val="21"/>
                <w:szCs w:val="21"/>
              </w:rPr>
            </w:pPr>
            <w:r>
              <w:rPr>
                <w:rFonts w:ascii="Arial" w:hAnsi="Arial" w:cs="Arial"/>
                <w:sz w:val="21"/>
                <w:szCs w:val="21"/>
              </w:rPr>
              <w:t>1.59</w:t>
            </w:r>
          </w:p>
        </w:tc>
      </w:tr>
    </w:tbl>
    <w:p w:rsidR="001C0D62" w:rsidRDefault="001C0D62">
      <w:pPr>
        <w:pStyle w:val="Footer"/>
        <w:tabs>
          <w:tab w:val="clear" w:pos="4320"/>
          <w:tab w:val="clear" w:pos="8640"/>
        </w:tabs>
        <w:jc w:val="center"/>
        <w:rPr>
          <w:rFonts w:ascii="Arial" w:hAnsi="Arial" w:cs="Arial"/>
        </w:rPr>
      </w:pPr>
      <w:r>
        <w:rPr>
          <w:rFonts w:ascii="Arial" w:hAnsi="Arial" w:cs="Arial"/>
          <w:b/>
          <w:bCs/>
          <w:sz w:val="32"/>
          <w:u w:val="single"/>
        </w:rPr>
        <w:t>Appendix E</w:t>
      </w: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jc w:val="center"/>
        <w:rPr>
          <w:rFonts w:ascii="Arial" w:hAnsi="Arial" w:cs="Arial"/>
          <w:b/>
          <w:u w:val="single"/>
        </w:rPr>
      </w:pPr>
      <w:r>
        <w:rPr>
          <w:rFonts w:ascii="Arial" w:hAnsi="Arial" w:cs="Arial"/>
          <w:b/>
          <w:u w:val="single"/>
        </w:rPr>
        <w:t>Precipitation and temperature records (1972 – 2012)</w:t>
      </w:r>
    </w:p>
    <w:p w:rsidR="001C0D62" w:rsidRDefault="001C0D62">
      <w:pPr>
        <w:pStyle w:val="Footer"/>
        <w:tabs>
          <w:tab w:val="clear" w:pos="4320"/>
          <w:tab w:val="clear" w:pos="8640"/>
        </w:tabs>
        <w:rPr>
          <w:rFonts w:ascii="Arial" w:hAnsi="Arial" w:cs="Arial"/>
          <w:u w:val="single"/>
        </w:rPr>
      </w:pPr>
    </w:p>
    <w:p w:rsidR="001C0D62" w:rsidRDefault="001C0D62">
      <w:pPr>
        <w:pStyle w:val="Footer"/>
        <w:tabs>
          <w:tab w:val="clear" w:pos="4320"/>
          <w:tab w:val="clear" w:pos="8640"/>
        </w:tabs>
        <w:rPr>
          <w:rFonts w:ascii="Arial" w:hAnsi="Arial" w:cs="Arial"/>
          <w:u w:val="single"/>
        </w:rPr>
      </w:pPr>
      <w:r>
        <w:rPr>
          <w:rFonts w:ascii="Arial" w:hAnsi="Arial" w:cs="Arial"/>
          <w:b/>
          <w:bCs/>
        </w:rPr>
        <w:t>Table 2</w:t>
      </w:r>
      <w:r>
        <w:rPr>
          <w:rFonts w:ascii="Arial" w:hAnsi="Arial" w:cs="Arial"/>
        </w:rPr>
        <w:t>:</w:t>
      </w:r>
      <w:r>
        <w:rPr>
          <w:rFonts w:ascii="Arial" w:hAnsi="Arial" w:cs="Arial"/>
          <w:b/>
          <w:bCs/>
        </w:rPr>
        <w:t xml:space="preserve"> </w:t>
      </w:r>
      <w:r>
        <w:rPr>
          <w:rFonts w:ascii="Arial" w:hAnsi="Arial" w:cs="Arial"/>
        </w:rPr>
        <w:t>shows the annual precipitation (mm) along with the average annual temperature (ºC) between 1972 and 2012 (Meteorological Office, 2013a).</w:t>
      </w:r>
      <w:r>
        <w:rPr>
          <w:rFonts w:ascii="Arial" w:hAnsi="Arial" w:cs="Arial"/>
          <w:u w:val="single"/>
        </w:rPr>
        <w:t xml:space="preserve"> </w:t>
      </w:r>
    </w:p>
    <w:p w:rsidR="001C0D62" w:rsidRDefault="001C0D62">
      <w:pPr>
        <w:pStyle w:val="Footer"/>
        <w:tabs>
          <w:tab w:val="clear" w:pos="4320"/>
          <w:tab w:val="clear" w:pos="8640"/>
        </w:tabs>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8"/>
        <w:gridCol w:w="2529"/>
        <w:gridCol w:w="2520"/>
      </w:tblGrid>
      <w:tr w:rsidR="001C0D62">
        <w:tblPrEx>
          <w:tblCellMar>
            <w:top w:w="0" w:type="dxa"/>
            <w:bottom w:w="0" w:type="dxa"/>
          </w:tblCellMar>
        </w:tblPrEx>
        <w:trPr>
          <w:jc w:val="center"/>
        </w:trPr>
        <w:tc>
          <w:tcPr>
            <w:tcW w:w="1188" w:type="dxa"/>
          </w:tcPr>
          <w:p w:rsidR="001C0D62" w:rsidRDefault="001C0D62">
            <w:pPr>
              <w:pStyle w:val="Heading2"/>
              <w:rPr>
                <w:sz w:val="22"/>
                <w:u w:val="none"/>
              </w:rPr>
            </w:pPr>
            <w:r>
              <w:rPr>
                <w:sz w:val="22"/>
                <w:u w:val="none"/>
              </w:rPr>
              <w:t>Year</w:t>
            </w:r>
          </w:p>
        </w:tc>
        <w:tc>
          <w:tcPr>
            <w:tcW w:w="2529" w:type="dxa"/>
          </w:tcPr>
          <w:p w:rsidR="001C0D62" w:rsidRDefault="001C0D62">
            <w:pPr>
              <w:jc w:val="center"/>
              <w:rPr>
                <w:rFonts w:ascii="Arial" w:hAnsi="Arial" w:cs="Arial"/>
                <w:b/>
                <w:bCs/>
                <w:sz w:val="22"/>
              </w:rPr>
            </w:pPr>
            <w:r>
              <w:rPr>
                <w:rFonts w:ascii="Arial" w:hAnsi="Arial" w:cs="Arial"/>
                <w:b/>
                <w:bCs/>
                <w:sz w:val="22"/>
              </w:rPr>
              <w:t>Annual average temperature (ºC)</w:t>
            </w:r>
          </w:p>
        </w:tc>
        <w:tc>
          <w:tcPr>
            <w:tcW w:w="2520" w:type="dxa"/>
            <w:vAlign w:val="bottom"/>
          </w:tcPr>
          <w:p w:rsidR="001C0D62" w:rsidRDefault="001C0D62">
            <w:pPr>
              <w:jc w:val="center"/>
              <w:rPr>
                <w:rFonts w:ascii="Arial" w:hAnsi="Arial" w:cs="Arial"/>
                <w:b/>
                <w:bCs/>
                <w:sz w:val="22"/>
                <w:szCs w:val="20"/>
              </w:rPr>
            </w:pPr>
            <w:r>
              <w:rPr>
                <w:rFonts w:ascii="Arial" w:hAnsi="Arial" w:cs="Arial"/>
                <w:b/>
                <w:bCs/>
                <w:sz w:val="22"/>
                <w:szCs w:val="20"/>
              </w:rPr>
              <w:t>Annual Precipitation (mm)</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1"/>
                <w:szCs w:val="21"/>
              </w:rPr>
            </w:pPr>
            <w:r>
              <w:rPr>
                <w:rFonts w:ascii="Arial" w:hAnsi="Arial" w:cs="Arial"/>
                <w:sz w:val="21"/>
                <w:szCs w:val="21"/>
              </w:rPr>
              <w:t>1972</w:t>
            </w:r>
          </w:p>
        </w:tc>
        <w:tc>
          <w:tcPr>
            <w:tcW w:w="2529" w:type="dxa"/>
            <w:vAlign w:val="bottom"/>
          </w:tcPr>
          <w:p w:rsidR="001C0D62" w:rsidRDefault="001C0D62">
            <w:pPr>
              <w:jc w:val="center"/>
              <w:rPr>
                <w:rFonts w:ascii="Arial" w:hAnsi="Arial" w:cs="Arial"/>
                <w:sz w:val="21"/>
                <w:szCs w:val="21"/>
              </w:rPr>
            </w:pPr>
            <w:r>
              <w:rPr>
                <w:rFonts w:ascii="Arial" w:hAnsi="Arial" w:cs="Arial"/>
                <w:sz w:val="21"/>
                <w:szCs w:val="21"/>
              </w:rPr>
              <w:t>11.6</w:t>
            </w:r>
          </w:p>
        </w:tc>
        <w:tc>
          <w:tcPr>
            <w:tcW w:w="2520" w:type="dxa"/>
            <w:vAlign w:val="bottom"/>
          </w:tcPr>
          <w:p w:rsidR="001C0D62" w:rsidRDefault="001C0D62">
            <w:pPr>
              <w:jc w:val="center"/>
              <w:rPr>
                <w:rFonts w:ascii="Arial" w:hAnsi="Arial" w:cs="Arial"/>
                <w:sz w:val="21"/>
                <w:szCs w:val="21"/>
              </w:rPr>
            </w:pPr>
            <w:r>
              <w:rPr>
                <w:rFonts w:ascii="Arial" w:hAnsi="Arial" w:cs="Arial"/>
                <w:sz w:val="21"/>
                <w:szCs w:val="21"/>
              </w:rPr>
              <w:t>1142.60</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1"/>
                <w:szCs w:val="21"/>
              </w:rPr>
            </w:pPr>
            <w:r>
              <w:rPr>
                <w:rFonts w:ascii="Arial" w:hAnsi="Arial" w:cs="Arial"/>
                <w:sz w:val="21"/>
                <w:szCs w:val="21"/>
              </w:rPr>
              <w:t>1973</w:t>
            </w:r>
          </w:p>
        </w:tc>
        <w:tc>
          <w:tcPr>
            <w:tcW w:w="2529" w:type="dxa"/>
            <w:vAlign w:val="bottom"/>
          </w:tcPr>
          <w:p w:rsidR="001C0D62" w:rsidRDefault="001C0D62">
            <w:pPr>
              <w:jc w:val="center"/>
              <w:rPr>
                <w:rFonts w:ascii="Arial" w:hAnsi="Arial" w:cs="Arial"/>
                <w:sz w:val="21"/>
                <w:szCs w:val="21"/>
              </w:rPr>
            </w:pPr>
            <w:r>
              <w:rPr>
                <w:rFonts w:ascii="Arial" w:hAnsi="Arial" w:cs="Arial"/>
                <w:sz w:val="21"/>
                <w:szCs w:val="21"/>
              </w:rPr>
              <w:t>12.0</w:t>
            </w:r>
          </w:p>
        </w:tc>
        <w:tc>
          <w:tcPr>
            <w:tcW w:w="2520" w:type="dxa"/>
            <w:vAlign w:val="bottom"/>
          </w:tcPr>
          <w:p w:rsidR="001C0D62" w:rsidRDefault="001C0D62">
            <w:pPr>
              <w:jc w:val="center"/>
              <w:rPr>
                <w:rFonts w:ascii="Arial" w:hAnsi="Arial" w:cs="Arial"/>
                <w:sz w:val="21"/>
                <w:szCs w:val="21"/>
              </w:rPr>
            </w:pPr>
            <w:r>
              <w:rPr>
                <w:rFonts w:ascii="Arial" w:hAnsi="Arial" w:cs="Arial"/>
                <w:sz w:val="21"/>
                <w:szCs w:val="21"/>
              </w:rPr>
              <w:t>1108.70</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1"/>
                <w:szCs w:val="21"/>
              </w:rPr>
            </w:pPr>
            <w:r>
              <w:rPr>
                <w:rFonts w:ascii="Arial" w:hAnsi="Arial" w:cs="Arial"/>
                <w:sz w:val="21"/>
                <w:szCs w:val="21"/>
              </w:rPr>
              <w:t>1974</w:t>
            </w:r>
          </w:p>
        </w:tc>
        <w:tc>
          <w:tcPr>
            <w:tcW w:w="2529" w:type="dxa"/>
            <w:vAlign w:val="bottom"/>
          </w:tcPr>
          <w:p w:rsidR="001C0D62" w:rsidRDefault="001C0D62">
            <w:pPr>
              <w:jc w:val="center"/>
              <w:rPr>
                <w:rFonts w:ascii="Arial" w:hAnsi="Arial" w:cs="Arial"/>
                <w:sz w:val="21"/>
                <w:szCs w:val="21"/>
              </w:rPr>
            </w:pPr>
            <w:r>
              <w:rPr>
                <w:rFonts w:ascii="Arial" w:hAnsi="Arial" w:cs="Arial"/>
                <w:sz w:val="21"/>
                <w:szCs w:val="21"/>
              </w:rPr>
              <w:t>11.9</w:t>
            </w:r>
          </w:p>
        </w:tc>
        <w:tc>
          <w:tcPr>
            <w:tcW w:w="2520" w:type="dxa"/>
            <w:vAlign w:val="bottom"/>
          </w:tcPr>
          <w:p w:rsidR="001C0D62" w:rsidRDefault="001C0D62">
            <w:pPr>
              <w:jc w:val="center"/>
              <w:rPr>
                <w:rFonts w:ascii="Arial" w:hAnsi="Arial" w:cs="Arial"/>
                <w:sz w:val="21"/>
                <w:szCs w:val="21"/>
              </w:rPr>
            </w:pPr>
            <w:r>
              <w:rPr>
                <w:rFonts w:ascii="Arial" w:hAnsi="Arial" w:cs="Arial"/>
                <w:sz w:val="21"/>
                <w:szCs w:val="21"/>
              </w:rPr>
              <w:t>1376.30</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1"/>
                <w:szCs w:val="21"/>
              </w:rPr>
            </w:pPr>
            <w:r>
              <w:rPr>
                <w:rFonts w:ascii="Arial" w:hAnsi="Arial" w:cs="Arial"/>
                <w:sz w:val="21"/>
                <w:szCs w:val="21"/>
              </w:rPr>
              <w:t>1975</w:t>
            </w:r>
          </w:p>
        </w:tc>
        <w:tc>
          <w:tcPr>
            <w:tcW w:w="2529" w:type="dxa"/>
            <w:vAlign w:val="bottom"/>
          </w:tcPr>
          <w:p w:rsidR="001C0D62" w:rsidRDefault="001C0D62">
            <w:pPr>
              <w:jc w:val="center"/>
              <w:rPr>
                <w:rFonts w:ascii="Arial" w:hAnsi="Arial" w:cs="Arial"/>
                <w:sz w:val="21"/>
                <w:szCs w:val="21"/>
              </w:rPr>
            </w:pPr>
            <w:r>
              <w:rPr>
                <w:rFonts w:ascii="Arial" w:hAnsi="Arial" w:cs="Arial"/>
                <w:sz w:val="21"/>
                <w:szCs w:val="21"/>
              </w:rPr>
              <w:t>12.5</w:t>
            </w:r>
          </w:p>
        </w:tc>
        <w:tc>
          <w:tcPr>
            <w:tcW w:w="2520" w:type="dxa"/>
            <w:vAlign w:val="bottom"/>
          </w:tcPr>
          <w:p w:rsidR="001C0D62" w:rsidRDefault="001C0D62">
            <w:pPr>
              <w:jc w:val="center"/>
              <w:rPr>
                <w:rFonts w:ascii="Arial" w:hAnsi="Arial" w:cs="Arial"/>
                <w:sz w:val="21"/>
                <w:szCs w:val="21"/>
              </w:rPr>
            </w:pPr>
            <w:r>
              <w:rPr>
                <w:rFonts w:ascii="Arial" w:hAnsi="Arial" w:cs="Arial"/>
                <w:sz w:val="21"/>
                <w:szCs w:val="21"/>
              </w:rPr>
              <w:t>953.62</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1"/>
                <w:szCs w:val="21"/>
              </w:rPr>
            </w:pPr>
            <w:r>
              <w:rPr>
                <w:rFonts w:ascii="Arial" w:hAnsi="Arial" w:cs="Arial"/>
                <w:sz w:val="21"/>
                <w:szCs w:val="21"/>
              </w:rPr>
              <w:t>1976</w:t>
            </w:r>
          </w:p>
        </w:tc>
        <w:tc>
          <w:tcPr>
            <w:tcW w:w="2529" w:type="dxa"/>
            <w:vAlign w:val="bottom"/>
          </w:tcPr>
          <w:p w:rsidR="001C0D62" w:rsidRDefault="001C0D62">
            <w:pPr>
              <w:jc w:val="center"/>
              <w:rPr>
                <w:rFonts w:ascii="Arial" w:hAnsi="Arial" w:cs="Arial"/>
                <w:sz w:val="21"/>
                <w:szCs w:val="21"/>
              </w:rPr>
            </w:pPr>
            <w:r>
              <w:rPr>
                <w:rFonts w:ascii="Arial" w:hAnsi="Arial" w:cs="Arial"/>
                <w:sz w:val="21"/>
                <w:szCs w:val="21"/>
              </w:rPr>
              <w:t>12.2</w:t>
            </w:r>
          </w:p>
        </w:tc>
        <w:tc>
          <w:tcPr>
            <w:tcW w:w="2520" w:type="dxa"/>
            <w:vAlign w:val="bottom"/>
          </w:tcPr>
          <w:p w:rsidR="001C0D62" w:rsidRDefault="001C0D62">
            <w:pPr>
              <w:jc w:val="center"/>
              <w:rPr>
                <w:rFonts w:ascii="Arial" w:hAnsi="Arial" w:cs="Arial"/>
                <w:sz w:val="21"/>
                <w:szCs w:val="21"/>
              </w:rPr>
            </w:pPr>
            <w:r>
              <w:rPr>
                <w:rFonts w:ascii="Arial" w:hAnsi="Arial" w:cs="Arial"/>
                <w:sz w:val="21"/>
                <w:szCs w:val="21"/>
              </w:rPr>
              <w:t>995.10</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1"/>
                <w:szCs w:val="21"/>
              </w:rPr>
            </w:pPr>
            <w:r>
              <w:rPr>
                <w:rFonts w:ascii="Arial" w:hAnsi="Arial" w:cs="Arial"/>
                <w:sz w:val="21"/>
                <w:szCs w:val="21"/>
              </w:rPr>
              <w:t>1977</w:t>
            </w:r>
          </w:p>
        </w:tc>
        <w:tc>
          <w:tcPr>
            <w:tcW w:w="2529" w:type="dxa"/>
            <w:vAlign w:val="bottom"/>
          </w:tcPr>
          <w:p w:rsidR="001C0D62" w:rsidRDefault="001C0D62">
            <w:pPr>
              <w:jc w:val="center"/>
              <w:rPr>
                <w:rFonts w:ascii="Arial" w:hAnsi="Arial" w:cs="Arial"/>
                <w:sz w:val="21"/>
                <w:szCs w:val="21"/>
              </w:rPr>
            </w:pPr>
            <w:r>
              <w:rPr>
                <w:rFonts w:ascii="Arial" w:hAnsi="Arial" w:cs="Arial"/>
                <w:sz w:val="21"/>
                <w:szCs w:val="21"/>
              </w:rPr>
              <w:t>11.7</w:t>
            </w:r>
          </w:p>
        </w:tc>
        <w:tc>
          <w:tcPr>
            <w:tcW w:w="2520" w:type="dxa"/>
            <w:vAlign w:val="bottom"/>
          </w:tcPr>
          <w:p w:rsidR="001C0D62" w:rsidRDefault="001C0D62">
            <w:pPr>
              <w:jc w:val="center"/>
              <w:rPr>
                <w:rFonts w:ascii="Arial" w:hAnsi="Arial" w:cs="Arial"/>
                <w:color w:val="000000"/>
                <w:sz w:val="21"/>
                <w:szCs w:val="21"/>
              </w:rPr>
            </w:pPr>
            <w:r>
              <w:rPr>
                <w:rFonts w:ascii="Arial" w:hAnsi="Arial" w:cs="Arial"/>
                <w:color w:val="000000"/>
                <w:sz w:val="21"/>
                <w:szCs w:val="21"/>
              </w:rPr>
              <w:t>1263.80</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1"/>
                <w:szCs w:val="21"/>
              </w:rPr>
            </w:pPr>
            <w:r>
              <w:rPr>
                <w:rFonts w:ascii="Arial" w:hAnsi="Arial" w:cs="Arial"/>
                <w:sz w:val="21"/>
                <w:szCs w:val="21"/>
              </w:rPr>
              <w:t>1978</w:t>
            </w:r>
          </w:p>
        </w:tc>
        <w:tc>
          <w:tcPr>
            <w:tcW w:w="2529" w:type="dxa"/>
            <w:vAlign w:val="bottom"/>
          </w:tcPr>
          <w:p w:rsidR="001C0D62" w:rsidRDefault="001C0D62">
            <w:pPr>
              <w:jc w:val="center"/>
              <w:rPr>
                <w:rFonts w:ascii="Arial" w:hAnsi="Arial" w:cs="Arial"/>
                <w:sz w:val="21"/>
                <w:szCs w:val="21"/>
              </w:rPr>
            </w:pPr>
            <w:r>
              <w:rPr>
                <w:rFonts w:ascii="Arial" w:hAnsi="Arial" w:cs="Arial"/>
                <w:sz w:val="21"/>
                <w:szCs w:val="21"/>
              </w:rPr>
              <w:t>11.6</w:t>
            </w:r>
          </w:p>
        </w:tc>
        <w:tc>
          <w:tcPr>
            <w:tcW w:w="2520" w:type="dxa"/>
            <w:vAlign w:val="bottom"/>
          </w:tcPr>
          <w:p w:rsidR="001C0D62" w:rsidRDefault="001C0D62">
            <w:pPr>
              <w:jc w:val="center"/>
              <w:rPr>
                <w:rFonts w:ascii="Arial" w:hAnsi="Arial" w:cs="Arial"/>
                <w:sz w:val="21"/>
                <w:szCs w:val="21"/>
              </w:rPr>
            </w:pPr>
            <w:r>
              <w:rPr>
                <w:rFonts w:ascii="Arial" w:hAnsi="Arial" w:cs="Arial"/>
                <w:sz w:val="21"/>
                <w:szCs w:val="21"/>
              </w:rPr>
              <w:t>1173.82</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1"/>
                <w:szCs w:val="21"/>
              </w:rPr>
            </w:pPr>
            <w:r>
              <w:rPr>
                <w:rFonts w:ascii="Arial" w:hAnsi="Arial" w:cs="Arial"/>
                <w:sz w:val="21"/>
                <w:szCs w:val="21"/>
              </w:rPr>
              <w:t>1979</w:t>
            </w:r>
          </w:p>
        </w:tc>
        <w:tc>
          <w:tcPr>
            <w:tcW w:w="2529" w:type="dxa"/>
            <w:vAlign w:val="bottom"/>
          </w:tcPr>
          <w:p w:rsidR="001C0D62" w:rsidRDefault="001C0D62">
            <w:pPr>
              <w:jc w:val="center"/>
              <w:rPr>
                <w:rFonts w:ascii="Arial" w:hAnsi="Arial" w:cs="Arial"/>
                <w:sz w:val="21"/>
                <w:szCs w:val="21"/>
              </w:rPr>
            </w:pPr>
            <w:r>
              <w:rPr>
                <w:rFonts w:ascii="Arial" w:hAnsi="Arial" w:cs="Arial"/>
                <w:sz w:val="21"/>
                <w:szCs w:val="21"/>
              </w:rPr>
              <w:t>10.9</w:t>
            </w:r>
          </w:p>
        </w:tc>
        <w:tc>
          <w:tcPr>
            <w:tcW w:w="2520" w:type="dxa"/>
            <w:vAlign w:val="bottom"/>
          </w:tcPr>
          <w:p w:rsidR="001C0D62" w:rsidRDefault="001C0D62">
            <w:pPr>
              <w:jc w:val="center"/>
              <w:rPr>
                <w:rFonts w:ascii="Arial" w:hAnsi="Arial" w:cs="Arial"/>
                <w:sz w:val="21"/>
                <w:szCs w:val="21"/>
              </w:rPr>
            </w:pPr>
            <w:r>
              <w:rPr>
                <w:rFonts w:ascii="Arial" w:hAnsi="Arial" w:cs="Arial"/>
                <w:sz w:val="21"/>
                <w:szCs w:val="21"/>
              </w:rPr>
              <w:t>1316.50</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1"/>
                <w:szCs w:val="21"/>
              </w:rPr>
            </w:pPr>
            <w:r>
              <w:rPr>
                <w:rFonts w:ascii="Arial" w:hAnsi="Arial" w:cs="Arial"/>
                <w:sz w:val="21"/>
                <w:szCs w:val="21"/>
              </w:rPr>
              <w:t>1980</w:t>
            </w:r>
          </w:p>
        </w:tc>
        <w:tc>
          <w:tcPr>
            <w:tcW w:w="2529" w:type="dxa"/>
            <w:vAlign w:val="bottom"/>
          </w:tcPr>
          <w:p w:rsidR="001C0D62" w:rsidRDefault="001C0D62">
            <w:pPr>
              <w:jc w:val="center"/>
              <w:rPr>
                <w:rFonts w:ascii="Arial" w:hAnsi="Arial" w:cs="Arial"/>
                <w:sz w:val="21"/>
                <w:szCs w:val="21"/>
              </w:rPr>
            </w:pPr>
            <w:r>
              <w:rPr>
                <w:rFonts w:ascii="Arial" w:hAnsi="Arial" w:cs="Arial"/>
                <w:sz w:val="21"/>
                <w:szCs w:val="21"/>
              </w:rPr>
              <w:t>11.6</w:t>
            </w:r>
          </w:p>
        </w:tc>
        <w:tc>
          <w:tcPr>
            <w:tcW w:w="2520" w:type="dxa"/>
            <w:vAlign w:val="bottom"/>
          </w:tcPr>
          <w:p w:rsidR="001C0D62" w:rsidRDefault="001C0D62">
            <w:pPr>
              <w:jc w:val="center"/>
              <w:rPr>
                <w:rFonts w:ascii="Arial" w:hAnsi="Arial" w:cs="Arial"/>
                <w:sz w:val="21"/>
                <w:szCs w:val="21"/>
              </w:rPr>
            </w:pPr>
            <w:r>
              <w:rPr>
                <w:rFonts w:ascii="Arial" w:hAnsi="Arial" w:cs="Arial"/>
                <w:sz w:val="21"/>
                <w:szCs w:val="21"/>
              </w:rPr>
              <w:t>1478.50</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1"/>
                <w:szCs w:val="21"/>
              </w:rPr>
            </w:pPr>
            <w:r>
              <w:rPr>
                <w:rFonts w:ascii="Arial" w:hAnsi="Arial" w:cs="Arial"/>
                <w:sz w:val="21"/>
                <w:szCs w:val="21"/>
              </w:rPr>
              <w:t>1981</w:t>
            </w:r>
          </w:p>
        </w:tc>
        <w:tc>
          <w:tcPr>
            <w:tcW w:w="2529" w:type="dxa"/>
            <w:vAlign w:val="bottom"/>
          </w:tcPr>
          <w:p w:rsidR="001C0D62" w:rsidRDefault="001C0D62">
            <w:pPr>
              <w:jc w:val="center"/>
              <w:rPr>
                <w:rFonts w:ascii="Arial" w:hAnsi="Arial" w:cs="Arial"/>
                <w:sz w:val="21"/>
                <w:szCs w:val="21"/>
              </w:rPr>
            </w:pPr>
            <w:r>
              <w:rPr>
                <w:rFonts w:ascii="Arial" w:hAnsi="Arial" w:cs="Arial"/>
                <w:sz w:val="21"/>
                <w:szCs w:val="21"/>
              </w:rPr>
              <w:t>11.6</w:t>
            </w:r>
          </w:p>
        </w:tc>
        <w:tc>
          <w:tcPr>
            <w:tcW w:w="2520" w:type="dxa"/>
            <w:vAlign w:val="bottom"/>
          </w:tcPr>
          <w:p w:rsidR="001C0D62" w:rsidRDefault="001C0D62">
            <w:pPr>
              <w:jc w:val="center"/>
              <w:rPr>
                <w:rFonts w:ascii="Arial" w:hAnsi="Arial" w:cs="Arial"/>
                <w:sz w:val="21"/>
                <w:szCs w:val="21"/>
              </w:rPr>
            </w:pPr>
            <w:r>
              <w:rPr>
                <w:rFonts w:ascii="Arial" w:hAnsi="Arial" w:cs="Arial"/>
                <w:sz w:val="21"/>
                <w:szCs w:val="21"/>
              </w:rPr>
              <w:t>1578.40</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1"/>
                <w:szCs w:val="21"/>
              </w:rPr>
            </w:pPr>
            <w:r>
              <w:rPr>
                <w:rFonts w:ascii="Arial" w:hAnsi="Arial" w:cs="Arial"/>
                <w:sz w:val="21"/>
                <w:szCs w:val="21"/>
              </w:rPr>
              <w:t>1982</w:t>
            </w:r>
          </w:p>
        </w:tc>
        <w:tc>
          <w:tcPr>
            <w:tcW w:w="2529" w:type="dxa"/>
            <w:vAlign w:val="bottom"/>
          </w:tcPr>
          <w:p w:rsidR="001C0D62" w:rsidRDefault="001C0D62">
            <w:pPr>
              <w:jc w:val="center"/>
              <w:rPr>
                <w:rFonts w:ascii="Arial" w:hAnsi="Arial" w:cs="Arial"/>
                <w:sz w:val="21"/>
                <w:szCs w:val="21"/>
              </w:rPr>
            </w:pPr>
            <w:r>
              <w:rPr>
                <w:rFonts w:ascii="Arial" w:hAnsi="Arial" w:cs="Arial"/>
                <w:sz w:val="21"/>
                <w:szCs w:val="21"/>
              </w:rPr>
              <w:t>12.4</w:t>
            </w:r>
          </w:p>
        </w:tc>
        <w:tc>
          <w:tcPr>
            <w:tcW w:w="2520" w:type="dxa"/>
            <w:vAlign w:val="bottom"/>
          </w:tcPr>
          <w:p w:rsidR="001C0D62" w:rsidRDefault="001C0D62">
            <w:pPr>
              <w:jc w:val="center"/>
              <w:rPr>
                <w:rFonts w:ascii="Arial" w:hAnsi="Arial" w:cs="Arial"/>
                <w:sz w:val="21"/>
                <w:szCs w:val="21"/>
              </w:rPr>
            </w:pPr>
            <w:r>
              <w:rPr>
                <w:rFonts w:ascii="Arial" w:hAnsi="Arial" w:cs="Arial"/>
                <w:sz w:val="21"/>
                <w:szCs w:val="21"/>
              </w:rPr>
              <w:t>1281.70</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1"/>
                <w:szCs w:val="21"/>
              </w:rPr>
            </w:pPr>
            <w:r>
              <w:rPr>
                <w:rFonts w:ascii="Arial" w:hAnsi="Arial" w:cs="Arial"/>
                <w:sz w:val="21"/>
                <w:szCs w:val="21"/>
              </w:rPr>
              <w:t>1983</w:t>
            </w:r>
          </w:p>
        </w:tc>
        <w:tc>
          <w:tcPr>
            <w:tcW w:w="2529" w:type="dxa"/>
            <w:vAlign w:val="bottom"/>
          </w:tcPr>
          <w:p w:rsidR="001C0D62" w:rsidRDefault="001C0D62">
            <w:pPr>
              <w:jc w:val="center"/>
              <w:rPr>
                <w:rFonts w:ascii="Arial" w:hAnsi="Arial" w:cs="Arial"/>
                <w:sz w:val="21"/>
                <w:szCs w:val="21"/>
              </w:rPr>
            </w:pPr>
            <w:r>
              <w:rPr>
                <w:rFonts w:ascii="Arial" w:hAnsi="Arial" w:cs="Arial"/>
                <w:sz w:val="21"/>
                <w:szCs w:val="21"/>
              </w:rPr>
              <w:t>12.3</w:t>
            </w:r>
          </w:p>
        </w:tc>
        <w:tc>
          <w:tcPr>
            <w:tcW w:w="2520" w:type="dxa"/>
            <w:vAlign w:val="bottom"/>
          </w:tcPr>
          <w:p w:rsidR="001C0D62" w:rsidRDefault="001C0D62">
            <w:pPr>
              <w:jc w:val="center"/>
              <w:rPr>
                <w:rFonts w:ascii="Arial" w:hAnsi="Arial" w:cs="Arial"/>
                <w:sz w:val="21"/>
                <w:szCs w:val="21"/>
              </w:rPr>
            </w:pPr>
            <w:r>
              <w:rPr>
                <w:rFonts w:ascii="Arial" w:hAnsi="Arial" w:cs="Arial"/>
                <w:sz w:val="21"/>
                <w:szCs w:val="21"/>
              </w:rPr>
              <w:t>1168.90</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1"/>
                <w:szCs w:val="21"/>
              </w:rPr>
            </w:pPr>
            <w:r>
              <w:rPr>
                <w:rFonts w:ascii="Arial" w:hAnsi="Arial" w:cs="Arial"/>
                <w:sz w:val="21"/>
                <w:szCs w:val="21"/>
              </w:rPr>
              <w:t>1984</w:t>
            </w:r>
          </w:p>
        </w:tc>
        <w:tc>
          <w:tcPr>
            <w:tcW w:w="2529" w:type="dxa"/>
            <w:vAlign w:val="bottom"/>
          </w:tcPr>
          <w:p w:rsidR="001C0D62" w:rsidRDefault="001C0D62">
            <w:pPr>
              <w:jc w:val="center"/>
              <w:rPr>
                <w:rFonts w:ascii="Arial" w:hAnsi="Arial" w:cs="Arial"/>
                <w:sz w:val="21"/>
                <w:szCs w:val="21"/>
              </w:rPr>
            </w:pPr>
            <w:r>
              <w:rPr>
                <w:rFonts w:ascii="Arial" w:hAnsi="Arial" w:cs="Arial"/>
                <w:sz w:val="21"/>
                <w:szCs w:val="21"/>
              </w:rPr>
              <w:t>12.4</w:t>
            </w:r>
          </w:p>
        </w:tc>
        <w:tc>
          <w:tcPr>
            <w:tcW w:w="2520" w:type="dxa"/>
            <w:vAlign w:val="bottom"/>
          </w:tcPr>
          <w:p w:rsidR="001C0D62" w:rsidRDefault="001C0D62">
            <w:pPr>
              <w:jc w:val="center"/>
              <w:rPr>
                <w:rFonts w:ascii="Arial" w:hAnsi="Arial" w:cs="Arial"/>
                <w:sz w:val="21"/>
                <w:szCs w:val="21"/>
              </w:rPr>
            </w:pPr>
            <w:r>
              <w:rPr>
                <w:rFonts w:ascii="Arial" w:hAnsi="Arial" w:cs="Arial"/>
                <w:sz w:val="21"/>
                <w:szCs w:val="21"/>
              </w:rPr>
              <w:t>1183.00</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1"/>
                <w:szCs w:val="21"/>
              </w:rPr>
            </w:pPr>
            <w:r>
              <w:rPr>
                <w:rFonts w:ascii="Arial" w:hAnsi="Arial" w:cs="Arial"/>
                <w:sz w:val="21"/>
                <w:szCs w:val="21"/>
              </w:rPr>
              <w:t>1985</w:t>
            </w:r>
          </w:p>
        </w:tc>
        <w:tc>
          <w:tcPr>
            <w:tcW w:w="2529" w:type="dxa"/>
            <w:vAlign w:val="bottom"/>
          </w:tcPr>
          <w:p w:rsidR="001C0D62" w:rsidRDefault="001C0D62">
            <w:pPr>
              <w:jc w:val="center"/>
              <w:rPr>
                <w:rFonts w:ascii="Arial" w:hAnsi="Arial" w:cs="Arial"/>
                <w:sz w:val="21"/>
                <w:szCs w:val="21"/>
              </w:rPr>
            </w:pPr>
            <w:r>
              <w:rPr>
                <w:rFonts w:ascii="Arial" w:hAnsi="Arial" w:cs="Arial"/>
                <w:sz w:val="21"/>
                <w:szCs w:val="21"/>
              </w:rPr>
              <w:t>11.1</w:t>
            </w:r>
          </w:p>
        </w:tc>
        <w:tc>
          <w:tcPr>
            <w:tcW w:w="2520" w:type="dxa"/>
            <w:vAlign w:val="bottom"/>
          </w:tcPr>
          <w:p w:rsidR="001C0D62" w:rsidRDefault="001C0D62">
            <w:pPr>
              <w:jc w:val="center"/>
              <w:rPr>
                <w:rFonts w:ascii="Arial" w:hAnsi="Arial" w:cs="Arial"/>
                <w:sz w:val="21"/>
                <w:szCs w:val="21"/>
              </w:rPr>
            </w:pPr>
            <w:r>
              <w:rPr>
                <w:rFonts w:ascii="Arial" w:hAnsi="Arial" w:cs="Arial"/>
                <w:sz w:val="21"/>
                <w:szCs w:val="21"/>
              </w:rPr>
              <w:t>1097.90</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1"/>
                <w:szCs w:val="21"/>
              </w:rPr>
            </w:pPr>
            <w:r>
              <w:rPr>
                <w:rFonts w:ascii="Arial" w:hAnsi="Arial" w:cs="Arial"/>
                <w:sz w:val="21"/>
                <w:szCs w:val="21"/>
              </w:rPr>
              <w:t>1986</w:t>
            </w:r>
          </w:p>
        </w:tc>
        <w:tc>
          <w:tcPr>
            <w:tcW w:w="2529" w:type="dxa"/>
            <w:vAlign w:val="bottom"/>
          </w:tcPr>
          <w:p w:rsidR="001C0D62" w:rsidRDefault="001C0D62">
            <w:pPr>
              <w:jc w:val="center"/>
              <w:rPr>
                <w:rFonts w:ascii="Arial" w:hAnsi="Arial" w:cs="Arial"/>
                <w:sz w:val="21"/>
                <w:szCs w:val="21"/>
              </w:rPr>
            </w:pPr>
            <w:r>
              <w:rPr>
                <w:rFonts w:ascii="Arial" w:hAnsi="Arial" w:cs="Arial"/>
                <w:sz w:val="21"/>
                <w:szCs w:val="21"/>
              </w:rPr>
              <w:t>11.1</w:t>
            </w:r>
          </w:p>
        </w:tc>
        <w:tc>
          <w:tcPr>
            <w:tcW w:w="2520" w:type="dxa"/>
            <w:vAlign w:val="bottom"/>
          </w:tcPr>
          <w:p w:rsidR="001C0D62" w:rsidRDefault="001C0D62">
            <w:pPr>
              <w:jc w:val="center"/>
              <w:rPr>
                <w:rFonts w:ascii="Arial" w:hAnsi="Arial" w:cs="Arial"/>
                <w:sz w:val="21"/>
                <w:szCs w:val="21"/>
              </w:rPr>
            </w:pPr>
            <w:r>
              <w:rPr>
                <w:rFonts w:ascii="Arial" w:hAnsi="Arial" w:cs="Arial"/>
                <w:sz w:val="21"/>
                <w:szCs w:val="21"/>
              </w:rPr>
              <w:t>1399.90</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1"/>
                <w:szCs w:val="21"/>
              </w:rPr>
            </w:pPr>
            <w:r>
              <w:rPr>
                <w:rFonts w:ascii="Arial" w:hAnsi="Arial" w:cs="Arial"/>
                <w:sz w:val="21"/>
                <w:szCs w:val="21"/>
              </w:rPr>
              <w:t>1987</w:t>
            </w:r>
          </w:p>
        </w:tc>
        <w:tc>
          <w:tcPr>
            <w:tcW w:w="2529" w:type="dxa"/>
            <w:vAlign w:val="bottom"/>
          </w:tcPr>
          <w:p w:rsidR="001C0D62" w:rsidRDefault="001C0D62">
            <w:pPr>
              <w:jc w:val="center"/>
              <w:rPr>
                <w:rFonts w:ascii="Arial" w:hAnsi="Arial" w:cs="Arial"/>
                <w:sz w:val="21"/>
                <w:szCs w:val="21"/>
              </w:rPr>
            </w:pPr>
            <w:r>
              <w:rPr>
                <w:rFonts w:ascii="Arial" w:hAnsi="Arial" w:cs="Arial"/>
                <w:sz w:val="21"/>
                <w:szCs w:val="21"/>
              </w:rPr>
              <w:t>11.3</w:t>
            </w:r>
          </w:p>
        </w:tc>
        <w:tc>
          <w:tcPr>
            <w:tcW w:w="2520" w:type="dxa"/>
            <w:vAlign w:val="bottom"/>
          </w:tcPr>
          <w:p w:rsidR="001C0D62" w:rsidRDefault="001C0D62">
            <w:pPr>
              <w:jc w:val="center"/>
              <w:rPr>
                <w:rFonts w:ascii="Arial" w:hAnsi="Arial" w:cs="Arial"/>
                <w:sz w:val="21"/>
                <w:szCs w:val="21"/>
              </w:rPr>
            </w:pPr>
            <w:r>
              <w:rPr>
                <w:rFonts w:ascii="Arial" w:hAnsi="Arial" w:cs="Arial"/>
                <w:sz w:val="21"/>
                <w:szCs w:val="21"/>
              </w:rPr>
              <w:t>1179.40</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1"/>
                <w:szCs w:val="21"/>
              </w:rPr>
            </w:pPr>
            <w:r>
              <w:rPr>
                <w:rFonts w:ascii="Arial" w:hAnsi="Arial" w:cs="Arial"/>
                <w:sz w:val="21"/>
                <w:szCs w:val="21"/>
              </w:rPr>
              <w:t>1988</w:t>
            </w:r>
          </w:p>
        </w:tc>
        <w:tc>
          <w:tcPr>
            <w:tcW w:w="2529" w:type="dxa"/>
            <w:vAlign w:val="bottom"/>
          </w:tcPr>
          <w:p w:rsidR="001C0D62" w:rsidRDefault="001C0D62">
            <w:pPr>
              <w:jc w:val="center"/>
              <w:rPr>
                <w:rFonts w:ascii="Arial" w:hAnsi="Arial" w:cs="Arial"/>
                <w:sz w:val="21"/>
                <w:szCs w:val="21"/>
              </w:rPr>
            </w:pPr>
            <w:r>
              <w:rPr>
                <w:rFonts w:ascii="Arial" w:hAnsi="Arial" w:cs="Arial"/>
                <w:sz w:val="21"/>
                <w:szCs w:val="21"/>
              </w:rPr>
              <w:t>12.2</w:t>
            </w:r>
          </w:p>
        </w:tc>
        <w:tc>
          <w:tcPr>
            <w:tcW w:w="2520" w:type="dxa"/>
            <w:vAlign w:val="bottom"/>
          </w:tcPr>
          <w:p w:rsidR="001C0D62" w:rsidRDefault="001C0D62">
            <w:pPr>
              <w:jc w:val="center"/>
              <w:rPr>
                <w:rFonts w:ascii="Arial" w:hAnsi="Arial" w:cs="Arial"/>
                <w:sz w:val="21"/>
                <w:szCs w:val="21"/>
              </w:rPr>
            </w:pPr>
            <w:r>
              <w:rPr>
                <w:rFonts w:ascii="Arial" w:hAnsi="Arial" w:cs="Arial"/>
                <w:sz w:val="21"/>
                <w:szCs w:val="21"/>
              </w:rPr>
              <w:t>1339.67</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1"/>
                <w:szCs w:val="21"/>
              </w:rPr>
            </w:pPr>
            <w:r>
              <w:rPr>
                <w:rFonts w:ascii="Arial" w:hAnsi="Arial" w:cs="Arial"/>
                <w:sz w:val="21"/>
                <w:szCs w:val="21"/>
              </w:rPr>
              <w:t>1989</w:t>
            </w:r>
          </w:p>
        </w:tc>
        <w:tc>
          <w:tcPr>
            <w:tcW w:w="2529" w:type="dxa"/>
            <w:vAlign w:val="bottom"/>
          </w:tcPr>
          <w:p w:rsidR="001C0D62" w:rsidRDefault="001C0D62">
            <w:pPr>
              <w:jc w:val="center"/>
              <w:rPr>
                <w:rFonts w:ascii="Arial" w:hAnsi="Arial" w:cs="Arial"/>
                <w:sz w:val="21"/>
                <w:szCs w:val="21"/>
              </w:rPr>
            </w:pPr>
            <w:r>
              <w:rPr>
                <w:rFonts w:ascii="Arial" w:hAnsi="Arial" w:cs="Arial"/>
                <w:sz w:val="21"/>
                <w:szCs w:val="21"/>
              </w:rPr>
              <w:t>13.0</w:t>
            </w:r>
          </w:p>
        </w:tc>
        <w:tc>
          <w:tcPr>
            <w:tcW w:w="2520" w:type="dxa"/>
            <w:vAlign w:val="bottom"/>
          </w:tcPr>
          <w:p w:rsidR="001C0D62" w:rsidRDefault="001C0D62">
            <w:pPr>
              <w:jc w:val="center"/>
              <w:rPr>
                <w:rFonts w:ascii="Arial" w:hAnsi="Arial" w:cs="Arial"/>
                <w:sz w:val="21"/>
                <w:szCs w:val="21"/>
              </w:rPr>
            </w:pPr>
            <w:r>
              <w:rPr>
                <w:rFonts w:ascii="Arial" w:hAnsi="Arial" w:cs="Arial"/>
                <w:sz w:val="21"/>
                <w:szCs w:val="21"/>
              </w:rPr>
              <w:t>1043.56</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1"/>
                <w:szCs w:val="21"/>
              </w:rPr>
            </w:pPr>
            <w:r>
              <w:rPr>
                <w:rFonts w:ascii="Arial" w:hAnsi="Arial" w:cs="Arial"/>
                <w:sz w:val="21"/>
                <w:szCs w:val="21"/>
              </w:rPr>
              <w:t>1990</w:t>
            </w:r>
          </w:p>
        </w:tc>
        <w:tc>
          <w:tcPr>
            <w:tcW w:w="2529" w:type="dxa"/>
            <w:vAlign w:val="bottom"/>
          </w:tcPr>
          <w:p w:rsidR="001C0D62" w:rsidRDefault="001C0D62">
            <w:pPr>
              <w:jc w:val="center"/>
              <w:rPr>
                <w:rFonts w:ascii="Arial" w:hAnsi="Arial" w:cs="Arial"/>
                <w:sz w:val="21"/>
                <w:szCs w:val="21"/>
              </w:rPr>
            </w:pPr>
            <w:r>
              <w:rPr>
                <w:rFonts w:ascii="Arial" w:hAnsi="Arial" w:cs="Arial"/>
                <w:sz w:val="21"/>
                <w:szCs w:val="21"/>
              </w:rPr>
              <w:t>13.0</w:t>
            </w:r>
          </w:p>
        </w:tc>
        <w:tc>
          <w:tcPr>
            <w:tcW w:w="2520" w:type="dxa"/>
            <w:vAlign w:val="bottom"/>
          </w:tcPr>
          <w:p w:rsidR="001C0D62" w:rsidRDefault="001C0D62">
            <w:pPr>
              <w:jc w:val="center"/>
              <w:rPr>
                <w:rFonts w:ascii="Arial" w:hAnsi="Arial" w:cs="Arial"/>
                <w:sz w:val="21"/>
                <w:szCs w:val="21"/>
              </w:rPr>
            </w:pPr>
            <w:r>
              <w:rPr>
                <w:rFonts w:ascii="Arial" w:hAnsi="Arial" w:cs="Arial"/>
                <w:sz w:val="21"/>
                <w:szCs w:val="21"/>
              </w:rPr>
              <w:t>1188.54</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1"/>
                <w:szCs w:val="21"/>
              </w:rPr>
            </w:pPr>
            <w:r>
              <w:rPr>
                <w:rFonts w:ascii="Arial" w:hAnsi="Arial" w:cs="Arial"/>
                <w:sz w:val="21"/>
                <w:szCs w:val="21"/>
              </w:rPr>
              <w:t>1991</w:t>
            </w:r>
          </w:p>
        </w:tc>
        <w:tc>
          <w:tcPr>
            <w:tcW w:w="2529" w:type="dxa"/>
            <w:vAlign w:val="bottom"/>
          </w:tcPr>
          <w:p w:rsidR="001C0D62" w:rsidRDefault="001C0D62">
            <w:pPr>
              <w:jc w:val="center"/>
              <w:rPr>
                <w:rFonts w:ascii="Arial" w:hAnsi="Arial" w:cs="Arial"/>
                <w:sz w:val="21"/>
                <w:szCs w:val="21"/>
              </w:rPr>
            </w:pPr>
            <w:r>
              <w:rPr>
                <w:rFonts w:ascii="Arial" w:hAnsi="Arial" w:cs="Arial"/>
                <w:sz w:val="21"/>
                <w:szCs w:val="21"/>
              </w:rPr>
              <w:t>12.2</w:t>
            </w:r>
          </w:p>
        </w:tc>
        <w:tc>
          <w:tcPr>
            <w:tcW w:w="2520" w:type="dxa"/>
            <w:vAlign w:val="bottom"/>
          </w:tcPr>
          <w:p w:rsidR="001C0D62" w:rsidRDefault="001C0D62">
            <w:pPr>
              <w:jc w:val="center"/>
              <w:rPr>
                <w:rFonts w:ascii="Arial" w:hAnsi="Arial" w:cs="Arial"/>
                <w:sz w:val="21"/>
                <w:szCs w:val="21"/>
              </w:rPr>
            </w:pPr>
            <w:r>
              <w:rPr>
                <w:rFonts w:ascii="Arial" w:hAnsi="Arial" w:cs="Arial"/>
                <w:sz w:val="21"/>
                <w:szCs w:val="21"/>
              </w:rPr>
              <w:t>1126.80</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1"/>
                <w:szCs w:val="21"/>
              </w:rPr>
            </w:pPr>
            <w:r>
              <w:rPr>
                <w:rFonts w:ascii="Arial" w:hAnsi="Arial" w:cs="Arial"/>
                <w:sz w:val="21"/>
                <w:szCs w:val="21"/>
              </w:rPr>
              <w:t>1992</w:t>
            </w:r>
          </w:p>
        </w:tc>
        <w:tc>
          <w:tcPr>
            <w:tcW w:w="2529" w:type="dxa"/>
            <w:vAlign w:val="bottom"/>
          </w:tcPr>
          <w:p w:rsidR="001C0D62" w:rsidRDefault="001C0D62">
            <w:pPr>
              <w:jc w:val="center"/>
              <w:rPr>
                <w:rFonts w:ascii="Arial" w:hAnsi="Arial" w:cs="Arial"/>
                <w:sz w:val="21"/>
                <w:szCs w:val="21"/>
              </w:rPr>
            </w:pPr>
            <w:r>
              <w:rPr>
                <w:rFonts w:ascii="Arial" w:hAnsi="Arial" w:cs="Arial"/>
                <w:sz w:val="21"/>
                <w:szCs w:val="21"/>
              </w:rPr>
              <w:t>12.5</w:t>
            </w:r>
          </w:p>
        </w:tc>
        <w:tc>
          <w:tcPr>
            <w:tcW w:w="2520" w:type="dxa"/>
            <w:vAlign w:val="bottom"/>
          </w:tcPr>
          <w:p w:rsidR="001C0D62" w:rsidRDefault="001C0D62">
            <w:pPr>
              <w:jc w:val="center"/>
              <w:rPr>
                <w:rFonts w:ascii="Arial" w:hAnsi="Arial" w:cs="Arial"/>
                <w:sz w:val="21"/>
                <w:szCs w:val="21"/>
              </w:rPr>
            </w:pPr>
            <w:r>
              <w:rPr>
                <w:rFonts w:ascii="Arial" w:hAnsi="Arial" w:cs="Arial"/>
                <w:sz w:val="21"/>
                <w:szCs w:val="21"/>
              </w:rPr>
              <w:t>1332.40</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1"/>
                <w:szCs w:val="21"/>
              </w:rPr>
            </w:pPr>
            <w:r>
              <w:rPr>
                <w:rFonts w:ascii="Arial" w:hAnsi="Arial" w:cs="Arial"/>
                <w:sz w:val="21"/>
                <w:szCs w:val="21"/>
              </w:rPr>
              <w:t>1993</w:t>
            </w:r>
          </w:p>
        </w:tc>
        <w:tc>
          <w:tcPr>
            <w:tcW w:w="2529" w:type="dxa"/>
            <w:vAlign w:val="bottom"/>
          </w:tcPr>
          <w:p w:rsidR="001C0D62" w:rsidRDefault="001C0D62">
            <w:pPr>
              <w:jc w:val="center"/>
              <w:rPr>
                <w:rFonts w:ascii="Arial" w:hAnsi="Arial" w:cs="Arial"/>
                <w:sz w:val="21"/>
                <w:szCs w:val="21"/>
              </w:rPr>
            </w:pPr>
            <w:r>
              <w:rPr>
                <w:rFonts w:ascii="Arial" w:hAnsi="Arial" w:cs="Arial"/>
                <w:sz w:val="21"/>
                <w:szCs w:val="21"/>
              </w:rPr>
              <w:t>11.8</w:t>
            </w:r>
          </w:p>
        </w:tc>
        <w:tc>
          <w:tcPr>
            <w:tcW w:w="2520" w:type="dxa"/>
            <w:vAlign w:val="bottom"/>
          </w:tcPr>
          <w:p w:rsidR="001C0D62" w:rsidRDefault="001C0D62">
            <w:pPr>
              <w:jc w:val="center"/>
              <w:rPr>
                <w:rFonts w:ascii="Arial" w:hAnsi="Arial" w:cs="Arial"/>
                <w:sz w:val="21"/>
                <w:szCs w:val="21"/>
              </w:rPr>
            </w:pPr>
            <w:r>
              <w:rPr>
                <w:rFonts w:ascii="Arial" w:hAnsi="Arial" w:cs="Arial"/>
                <w:sz w:val="21"/>
                <w:szCs w:val="21"/>
              </w:rPr>
              <w:t>1156.00</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1"/>
                <w:szCs w:val="21"/>
              </w:rPr>
            </w:pPr>
            <w:r>
              <w:rPr>
                <w:rFonts w:ascii="Arial" w:hAnsi="Arial" w:cs="Arial"/>
                <w:sz w:val="21"/>
                <w:szCs w:val="21"/>
              </w:rPr>
              <w:t>1994</w:t>
            </w:r>
          </w:p>
        </w:tc>
        <w:tc>
          <w:tcPr>
            <w:tcW w:w="2529" w:type="dxa"/>
            <w:vAlign w:val="bottom"/>
          </w:tcPr>
          <w:p w:rsidR="001C0D62" w:rsidRDefault="001C0D62">
            <w:pPr>
              <w:jc w:val="center"/>
              <w:rPr>
                <w:rFonts w:ascii="Arial" w:hAnsi="Arial" w:cs="Arial"/>
                <w:sz w:val="21"/>
                <w:szCs w:val="21"/>
              </w:rPr>
            </w:pPr>
            <w:r>
              <w:rPr>
                <w:rFonts w:ascii="Arial" w:hAnsi="Arial" w:cs="Arial"/>
                <w:sz w:val="21"/>
                <w:szCs w:val="21"/>
              </w:rPr>
              <w:t>12.0</w:t>
            </w:r>
          </w:p>
        </w:tc>
        <w:tc>
          <w:tcPr>
            <w:tcW w:w="2520" w:type="dxa"/>
            <w:vAlign w:val="bottom"/>
          </w:tcPr>
          <w:p w:rsidR="001C0D62" w:rsidRDefault="001C0D62">
            <w:pPr>
              <w:jc w:val="center"/>
              <w:rPr>
                <w:rFonts w:ascii="Arial" w:hAnsi="Arial" w:cs="Arial"/>
                <w:sz w:val="21"/>
                <w:szCs w:val="21"/>
              </w:rPr>
            </w:pPr>
            <w:r>
              <w:rPr>
                <w:rFonts w:ascii="Arial" w:hAnsi="Arial" w:cs="Arial"/>
                <w:sz w:val="21"/>
                <w:szCs w:val="21"/>
              </w:rPr>
              <w:t>1278.35</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1"/>
                <w:szCs w:val="21"/>
              </w:rPr>
            </w:pPr>
            <w:r>
              <w:rPr>
                <w:rFonts w:ascii="Arial" w:hAnsi="Arial" w:cs="Arial"/>
                <w:sz w:val="21"/>
                <w:szCs w:val="21"/>
              </w:rPr>
              <w:t>1995</w:t>
            </w:r>
          </w:p>
        </w:tc>
        <w:tc>
          <w:tcPr>
            <w:tcW w:w="2529" w:type="dxa"/>
            <w:vAlign w:val="bottom"/>
          </w:tcPr>
          <w:p w:rsidR="001C0D62" w:rsidRDefault="001C0D62">
            <w:pPr>
              <w:jc w:val="center"/>
              <w:rPr>
                <w:rFonts w:ascii="Arial" w:hAnsi="Arial" w:cs="Arial"/>
                <w:sz w:val="21"/>
                <w:szCs w:val="21"/>
              </w:rPr>
            </w:pPr>
            <w:r>
              <w:rPr>
                <w:rFonts w:ascii="Arial" w:hAnsi="Arial" w:cs="Arial"/>
                <w:sz w:val="21"/>
                <w:szCs w:val="21"/>
              </w:rPr>
              <w:t>12.9</w:t>
            </w:r>
          </w:p>
        </w:tc>
        <w:tc>
          <w:tcPr>
            <w:tcW w:w="2520" w:type="dxa"/>
            <w:vAlign w:val="bottom"/>
          </w:tcPr>
          <w:p w:rsidR="001C0D62" w:rsidRDefault="001C0D62">
            <w:pPr>
              <w:jc w:val="center"/>
              <w:rPr>
                <w:rFonts w:ascii="Arial" w:hAnsi="Arial" w:cs="Arial"/>
                <w:sz w:val="21"/>
                <w:szCs w:val="21"/>
              </w:rPr>
            </w:pPr>
            <w:r>
              <w:rPr>
                <w:rFonts w:ascii="Arial" w:hAnsi="Arial" w:cs="Arial"/>
                <w:sz w:val="21"/>
                <w:szCs w:val="21"/>
              </w:rPr>
              <w:t>926.86</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1"/>
                <w:szCs w:val="21"/>
              </w:rPr>
            </w:pPr>
            <w:r>
              <w:rPr>
                <w:rFonts w:ascii="Arial" w:hAnsi="Arial" w:cs="Arial"/>
                <w:sz w:val="21"/>
                <w:szCs w:val="21"/>
              </w:rPr>
              <w:t>1996</w:t>
            </w:r>
          </w:p>
        </w:tc>
        <w:tc>
          <w:tcPr>
            <w:tcW w:w="2529" w:type="dxa"/>
            <w:vAlign w:val="bottom"/>
          </w:tcPr>
          <w:p w:rsidR="001C0D62" w:rsidRDefault="001C0D62">
            <w:pPr>
              <w:jc w:val="center"/>
              <w:rPr>
                <w:rFonts w:ascii="Arial" w:hAnsi="Arial" w:cs="Arial"/>
                <w:sz w:val="21"/>
                <w:szCs w:val="21"/>
              </w:rPr>
            </w:pPr>
            <w:r>
              <w:rPr>
                <w:rFonts w:ascii="Arial" w:hAnsi="Arial" w:cs="Arial"/>
                <w:sz w:val="21"/>
                <w:szCs w:val="21"/>
              </w:rPr>
              <w:t>11.5</w:t>
            </w:r>
          </w:p>
        </w:tc>
        <w:tc>
          <w:tcPr>
            <w:tcW w:w="2520" w:type="dxa"/>
            <w:vAlign w:val="bottom"/>
          </w:tcPr>
          <w:p w:rsidR="001C0D62" w:rsidRDefault="001C0D62">
            <w:pPr>
              <w:jc w:val="center"/>
              <w:rPr>
                <w:rFonts w:ascii="Arial" w:hAnsi="Arial" w:cs="Arial"/>
                <w:sz w:val="21"/>
                <w:szCs w:val="21"/>
              </w:rPr>
            </w:pPr>
            <w:r>
              <w:rPr>
                <w:rFonts w:ascii="Arial" w:hAnsi="Arial" w:cs="Arial"/>
                <w:sz w:val="21"/>
                <w:szCs w:val="21"/>
              </w:rPr>
              <w:t>959.50</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1"/>
                <w:szCs w:val="21"/>
              </w:rPr>
            </w:pPr>
            <w:r>
              <w:rPr>
                <w:rFonts w:ascii="Arial" w:hAnsi="Arial" w:cs="Arial"/>
                <w:sz w:val="21"/>
                <w:szCs w:val="21"/>
              </w:rPr>
              <w:t>1997</w:t>
            </w:r>
          </w:p>
        </w:tc>
        <w:tc>
          <w:tcPr>
            <w:tcW w:w="2529" w:type="dxa"/>
            <w:vAlign w:val="bottom"/>
          </w:tcPr>
          <w:p w:rsidR="001C0D62" w:rsidRDefault="001C0D62">
            <w:pPr>
              <w:jc w:val="center"/>
              <w:rPr>
                <w:rFonts w:ascii="Arial" w:hAnsi="Arial" w:cs="Arial"/>
                <w:sz w:val="21"/>
                <w:szCs w:val="21"/>
              </w:rPr>
            </w:pPr>
            <w:r>
              <w:rPr>
                <w:rFonts w:ascii="Arial" w:hAnsi="Arial" w:cs="Arial"/>
                <w:sz w:val="21"/>
                <w:szCs w:val="21"/>
              </w:rPr>
              <w:t>12.9</w:t>
            </w:r>
          </w:p>
        </w:tc>
        <w:tc>
          <w:tcPr>
            <w:tcW w:w="2520" w:type="dxa"/>
            <w:vAlign w:val="bottom"/>
          </w:tcPr>
          <w:p w:rsidR="001C0D62" w:rsidRDefault="001C0D62">
            <w:pPr>
              <w:jc w:val="center"/>
              <w:rPr>
                <w:rFonts w:ascii="Arial" w:hAnsi="Arial" w:cs="Arial"/>
                <w:sz w:val="21"/>
                <w:szCs w:val="21"/>
              </w:rPr>
            </w:pPr>
            <w:r>
              <w:rPr>
                <w:rFonts w:ascii="Arial" w:hAnsi="Arial" w:cs="Arial"/>
                <w:sz w:val="21"/>
                <w:szCs w:val="21"/>
              </w:rPr>
              <w:t>1105.50</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1"/>
                <w:szCs w:val="21"/>
              </w:rPr>
            </w:pPr>
            <w:r>
              <w:rPr>
                <w:rFonts w:ascii="Arial" w:hAnsi="Arial" w:cs="Arial"/>
                <w:sz w:val="21"/>
                <w:szCs w:val="21"/>
              </w:rPr>
              <w:t>1998</w:t>
            </w:r>
          </w:p>
        </w:tc>
        <w:tc>
          <w:tcPr>
            <w:tcW w:w="2529" w:type="dxa"/>
            <w:vAlign w:val="bottom"/>
          </w:tcPr>
          <w:p w:rsidR="001C0D62" w:rsidRDefault="001C0D62">
            <w:pPr>
              <w:jc w:val="center"/>
              <w:rPr>
                <w:rFonts w:ascii="Arial" w:hAnsi="Arial" w:cs="Arial"/>
                <w:sz w:val="21"/>
                <w:szCs w:val="21"/>
              </w:rPr>
            </w:pPr>
            <w:r>
              <w:rPr>
                <w:rFonts w:ascii="Arial" w:hAnsi="Arial" w:cs="Arial"/>
                <w:sz w:val="21"/>
                <w:szCs w:val="21"/>
              </w:rPr>
              <w:t>12.4</w:t>
            </w:r>
          </w:p>
        </w:tc>
        <w:tc>
          <w:tcPr>
            <w:tcW w:w="2520" w:type="dxa"/>
            <w:vAlign w:val="bottom"/>
          </w:tcPr>
          <w:p w:rsidR="001C0D62" w:rsidRDefault="001C0D62">
            <w:pPr>
              <w:jc w:val="center"/>
              <w:rPr>
                <w:rFonts w:ascii="Arial" w:hAnsi="Arial" w:cs="Arial"/>
                <w:sz w:val="21"/>
                <w:szCs w:val="21"/>
              </w:rPr>
            </w:pPr>
            <w:r>
              <w:rPr>
                <w:rFonts w:ascii="Arial" w:hAnsi="Arial" w:cs="Arial"/>
                <w:sz w:val="21"/>
                <w:szCs w:val="21"/>
              </w:rPr>
              <w:t>1395.34</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1"/>
                <w:szCs w:val="21"/>
              </w:rPr>
            </w:pPr>
            <w:r>
              <w:rPr>
                <w:rFonts w:ascii="Arial" w:hAnsi="Arial" w:cs="Arial"/>
                <w:sz w:val="21"/>
                <w:szCs w:val="21"/>
              </w:rPr>
              <w:t>1999</w:t>
            </w:r>
          </w:p>
        </w:tc>
        <w:tc>
          <w:tcPr>
            <w:tcW w:w="2529" w:type="dxa"/>
            <w:vAlign w:val="bottom"/>
          </w:tcPr>
          <w:p w:rsidR="001C0D62" w:rsidRDefault="001C0D62">
            <w:pPr>
              <w:jc w:val="center"/>
              <w:rPr>
                <w:rFonts w:ascii="Arial" w:hAnsi="Arial" w:cs="Arial"/>
                <w:sz w:val="21"/>
                <w:szCs w:val="21"/>
              </w:rPr>
            </w:pPr>
            <w:r>
              <w:rPr>
                <w:rFonts w:ascii="Arial" w:hAnsi="Arial" w:cs="Arial"/>
                <w:sz w:val="21"/>
                <w:szCs w:val="21"/>
              </w:rPr>
              <w:t>12.7</w:t>
            </w:r>
          </w:p>
        </w:tc>
        <w:tc>
          <w:tcPr>
            <w:tcW w:w="2520" w:type="dxa"/>
            <w:vAlign w:val="bottom"/>
          </w:tcPr>
          <w:p w:rsidR="001C0D62" w:rsidRDefault="001C0D62">
            <w:pPr>
              <w:jc w:val="center"/>
              <w:rPr>
                <w:rFonts w:ascii="Arial" w:hAnsi="Arial" w:cs="Arial"/>
                <w:sz w:val="21"/>
                <w:szCs w:val="21"/>
              </w:rPr>
            </w:pPr>
            <w:r>
              <w:rPr>
                <w:rFonts w:ascii="Arial" w:hAnsi="Arial" w:cs="Arial"/>
                <w:sz w:val="21"/>
                <w:szCs w:val="21"/>
              </w:rPr>
              <w:t>1304.20</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1"/>
                <w:szCs w:val="21"/>
              </w:rPr>
            </w:pPr>
            <w:r>
              <w:rPr>
                <w:rFonts w:ascii="Arial" w:hAnsi="Arial" w:cs="Arial"/>
                <w:sz w:val="21"/>
                <w:szCs w:val="21"/>
              </w:rPr>
              <w:t>2000</w:t>
            </w:r>
          </w:p>
        </w:tc>
        <w:tc>
          <w:tcPr>
            <w:tcW w:w="2529" w:type="dxa"/>
            <w:vAlign w:val="bottom"/>
          </w:tcPr>
          <w:p w:rsidR="001C0D62" w:rsidRDefault="001C0D62">
            <w:pPr>
              <w:jc w:val="center"/>
              <w:rPr>
                <w:rFonts w:ascii="Arial" w:hAnsi="Arial" w:cs="Arial"/>
                <w:sz w:val="21"/>
                <w:szCs w:val="21"/>
              </w:rPr>
            </w:pPr>
            <w:r>
              <w:rPr>
                <w:rFonts w:ascii="Arial" w:hAnsi="Arial" w:cs="Arial"/>
                <w:sz w:val="21"/>
                <w:szCs w:val="21"/>
              </w:rPr>
              <w:t>12.5</w:t>
            </w:r>
          </w:p>
        </w:tc>
        <w:tc>
          <w:tcPr>
            <w:tcW w:w="2520" w:type="dxa"/>
            <w:vAlign w:val="bottom"/>
          </w:tcPr>
          <w:p w:rsidR="001C0D62" w:rsidRDefault="001C0D62">
            <w:pPr>
              <w:jc w:val="center"/>
              <w:rPr>
                <w:rFonts w:ascii="Arial" w:hAnsi="Arial" w:cs="Arial"/>
                <w:sz w:val="21"/>
                <w:szCs w:val="21"/>
              </w:rPr>
            </w:pPr>
            <w:r>
              <w:rPr>
                <w:rFonts w:ascii="Arial" w:hAnsi="Arial" w:cs="Arial"/>
                <w:sz w:val="21"/>
                <w:szCs w:val="21"/>
              </w:rPr>
              <w:t>1633.70</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1"/>
                <w:szCs w:val="21"/>
              </w:rPr>
            </w:pPr>
            <w:r>
              <w:rPr>
                <w:rFonts w:ascii="Arial" w:hAnsi="Arial" w:cs="Arial"/>
                <w:sz w:val="21"/>
                <w:szCs w:val="21"/>
              </w:rPr>
              <w:t>2001</w:t>
            </w:r>
          </w:p>
        </w:tc>
        <w:tc>
          <w:tcPr>
            <w:tcW w:w="2529" w:type="dxa"/>
            <w:vAlign w:val="bottom"/>
          </w:tcPr>
          <w:p w:rsidR="001C0D62" w:rsidRDefault="001C0D62">
            <w:pPr>
              <w:jc w:val="center"/>
              <w:rPr>
                <w:rFonts w:ascii="Arial" w:hAnsi="Arial" w:cs="Arial"/>
                <w:sz w:val="21"/>
                <w:szCs w:val="21"/>
              </w:rPr>
            </w:pPr>
            <w:r>
              <w:rPr>
                <w:rFonts w:ascii="Arial" w:hAnsi="Arial" w:cs="Arial"/>
                <w:sz w:val="21"/>
                <w:szCs w:val="21"/>
              </w:rPr>
              <w:t>12.4</w:t>
            </w:r>
          </w:p>
        </w:tc>
        <w:tc>
          <w:tcPr>
            <w:tcW w:w="2520" w:type="dxa"/>
            <w:vAlign w:val="bottom"/>
          </w:tcPr>
          <w:p w:rsidR="001C0D62" w:rsidRDefault="001C0D62">
            <w:pPr>
              <w:jc w:val="center"/>
              <w:rPr>
                <w:rFonts w:ascii="Arial" w:hAnsi="Arial" w:cs="Arial"/>
                <w:sz w:val="21"/>
                <w:szCs w:val="21"/>
              </w:rPr>
            </w:pPr>
            <w:r>
              <w:rPr>
                <w:rFonts w:ascii="Arial" w:hAnsi="Arial" w:cs="Arial"/>
                <w:sz w:val="21"/>
                <w:szCs w:val="21"/>
              </w:rPr>
              <w:t>1282.40</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1"/>
                <w:szCs w:val="21"/>
              </w:rPr>
            </w:pPr>
            <w:r>
              <w:rPr>
                <w:rFonts w:ascii="Arial" w:hAnsi="Arial" w:cs="Arial"/>
                <w:sz w:val="21"/>
                <w:szCs w:val="21"/>
              </w:rPr>
              <w:t>2002</w:t>
            </w:r>
          </w:p>
        </w:tc>
        <w:tc>
          <w:tcPr>
            <w:tcW w:w="2529" w:type="dxa"/>
            <w:vAlign w:val="bottom"/>
          </w:tcPr>
          <w:p w:rsidR="001C0D62" w:rsidRDefault="001C0D62">
            <w:pPr>
              <w:jc w:val="center"/>
              <w:rPr>
                <w:rFonts w:ascii="Arial" w:hAnsi="Arial" w:cs="Arial"/>
                <w:sz w:val="21"/>
                <w:szCs w:val="21"/>
              </w:rPr>
            </w:pPr>
            <w:r>
              <w:rPr>
                <w:rFonts w:ascii="Arial" w:hAnsi="Arial" w:cs="Arial"/>
                <w:sz w:val="21"/>
                <w:szCs w:val="21"/>
              </w:rPr>
              <w:t>12.8</w:t>
            </w:r>
          </w:p>
        </w:tc>
        <w:tc>
          <w:tcPr>
            <w:tcW w:w="2520" w:type="dxa"/>
            <w:vAlign w:val="bottom"/>
          </w:tcPr>
          <w:p w:rsidR="001C0D62" w:rsidRDefault="001C0D62">
            <w:pPr>
              <w:jc w:val="center"/>
              <w:rPr>
                <w:rFonts w:ascii="Arial" w:hAnsi="Arial" w:cs="Arial"/>
                <w:sz w:val="21"/>
                <w:szCs w:val="21"/>
              </w:rPr>
            </w:pPr>
            <w:r>
              <w:rPr>
                <w:rFonts w:ascii="Arial" w:hAnsi="Arial" w:cs="Arial"/>
                <w:sz w:val="21"/>
                <w:szCs w:val="21"/>
              </w:rPr>
              <w:t>1524.40</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1"/>
                <w:szCs w:val="21"/>
              </w:rPr>
            </w:pPr>
            <w:r>
              <w:rPr>
                <w:rFonts w:ascii="Arial" w:hAnsi="Arial" w:cs="Arial"/>
                <w:sz w:val="21"/>
                <w:szCs w:val="21"/>
              </w:rPr>
              <w:t>2003</w:t>
            </w:r>
          </w:p>
        </w:tc>
        <w:tc>
          <w:tcPr>
            <w:tcW w:w="2529" w:type="dxa"/>
            <w:vAlign w:val="bottom"/>
          </w:tcPr>
          <w:p w:rsidR="001C0D62" w:rsidRDefault="001C0D62">
            <w:pPr>
              <w:jc w:val="center"/>
              <w:rPr>
                <w:rFonts w:ascii="Arial" w:hAnsi="Arial" w:cs="Arial"/>
                <w:sz w:val="21"/>
                <w:szCs w:val="21"/>
              </w:rPr>
            </w:pPr>
            <w:r>
              <w:rPr>
                <w:rFonts w:ascii="Arial" w:hAnsi="Arial" w:cs="Arial"/>
                <w:sz w:val="21"/>
                <w:szCs w:val="21"/>
              </w:rPr>
              <w:t>13.4</w:t>
            </w:r>
          </w:p>
        </w:tc>
        <w:tc>
          <w:tcPr>
            <w:tcW w:w="2520" w:type="dxa"/>
            <w:vAlign w:val="bottom"/>
          </w:tcPr>
          <w:p w:rsidR="001C0D62" w:rsidRDefault="001C0D62">
            <w:pPr>
              <w:jc w:val="center"/>
              <w:rPr>
                <w:rFonts w:ascii="Arial" w:hAnsi="Arial" w:cs="Arial"/>
                <w:sz w:val="21"/>
                <w:szCs w:val="21"/>
              </w:rPr>
            </w:pPr>
            <w:r>
              <w:rPr>
                <w:rFonts w:ascii="Arial" w:hAnsi="Arial" w:cs="Arial"/>
                <w:sz w:val="21"/>
                <w:szCs w:val="21"/>
              </w:rPr>
              <w:t>1021.80</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1"/>
                <w:szCs w:val="21"/>
              </w:rPr>
            </w:pPr>
            <w:r>
              <w:rPr>
                <w:rFonts w:ascii="Arial" w:hAnsi="Arial" w:cs="Arial"/>
                <w:sz w:val="21"/>
                <w:szCs w:val="21"/>
              </w:rPr>
              <w:t>2004</w:t>
            </w:r>
          </w:p>
        </w:tc>
        <w:tc>
          <w:tcPr>
            <w:tcW w:w="2529" w:type="dxa"/>
            <w:vAlign w:val="bottom"/>
          </w:tcPr>
          <w:p w:rsidR="001C0D62" w:rsidRDefault="001C0D62">
            <w:pPr>
              <w:jc w:val="center"/>
              <w:rPr>
                <w:rFonts w:ascii="Arial" w:hAnsi="Arial" w:cs="Arial"/>
                <w:sz w:val="21"/>
                <w:szCs w:val="21"/>
              </w:rPr>
            </w:pPr>
            <w:r>
              <w:rPr>
                <w:rFonts w:ascii="Arial" w:hAnsi="Arial" w:cs="Arial"/>
                <w:sz w:val="21"/>
                <w:szCs w:val="21"/>
              </w:rPr>
              <w:t>12.9</w:t>
            </w:r>
          </w:p>
        </w:tc>
        <w:tc>
          <w:tcPr>
            <w:tcW w:w="2520" w:type="dxa"/>
            <w:vAlign w:val="bottom"/>
          </w:tcPr>
          <w:p w:rsidR="001C0D62" w:rsidRDefault="001C0D62">
            <w:pPr>
              <w:jc w:val="center"/>
              <w:rPr>
                <w:rFonts w:ascii="Arial" w:hAnsi="Arial" w:cs="Arial"/>
                <w:sz w:val="21"/>
                <w:szCs w:val="21"/>
              </w:rPr>
            </w:pPr>
            <w:r>
              <w:rPr>
                <w:rFonts w:ascii="Arial" w:hAnsi="Arial" w:cs="Arial"/>
                <w:sz w:val="21"/>
                <w:szCs w:val="21"/>
              </w:rPr>
              <w:t>1408.80</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1"/>
                <w:szCs w:val="21"/>
              </w:rPr>
            </w:pPr>
            <w:r>
              <w:rPr>
                <w:rFonts w:ascii="Arial" w:hAnsi="Arial" w:cs="Arial"/>
                <w:sz w:val="21"/>
                <w:szCs w:val="21"/>
              </w:rPr>
              <w:t>2005</w:t>
            </w:r>
          </w:p>
        </w:tc>
        <w:tc>
          <w:tcPr>
            <w:tcW w:w="2529" w:type="dxa"/>
            <w:vAlign w:val="bottom"/>
          </w:tcPr>
          <w:p w:rsidR="001C0D62" w:rsidRDefault="001C0D62">
            <w:pPr>
              <w:jc w:val="center"/>
              <w:rPr>
                <w:rFonts w:ascii="Arial" w:hAnsi="Arial" w:cs="Arial"/>
                <w:sz w:val="21"/>
                <w:szCs w:val="21"/>
              </w:rPr>
            </w:pPr>
            <w:r>
              <w:rPr>
                <w:rFonts w:ascii="Arial" w:hAnsi="Arial" w:cs="Arial"/>
                <w:sz w:val="21"/>
                <w:szCs w:val="21"/>
              </w:rPr>
              <w:t>12.7</w:t>
            </w:r>
          </w:p>
        </w:tc>
        <w:tc>
          <w:tcPr>
            <w:tcW w:w="2520" w:type="dxa"/>
            <w:vAlign w:val="bottom"/>
          </w:tcPr>
          <w:p w:rsidR="001C0D62" w:rsidRDefault="001C0D62">
            <w:pPr>
              <w:jc w:val="center"/>
              <w:rPr>
                <w:rFonts w:ascii="Arial" w:hAnsi="Arial" w:cs="Arial"/>
                <w:sz w:val="21"/>
                <w:szCs w:val="21"/>
              </w:rPr>
            </w:pPr>
            <w:r>
              <w:rPr>
                <w:rFonts w:ascii="Arial" w:hAnsi="Arial" w:cs="Arial"/>
                <w:sz w:val="21"/>
                <w:szCs w:val="21"/>
              </w:rPr>
              <w:t>1111.90</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1"/>
                <w:szCs w:val="21"/>
              </w:rPr>
            </w:pPr>
            <w:r>
              <w:rPr>
                <w:rFonts w:ascii="Arial" w:hAnsi="Arial" w:cs="Arial"/>
                <w:sz w:val="21"/>
                <w:szCs w:val="21"/>
              </w:rPr>
              <w:t>2006</w:t>
            </w:r>
          </w:p>
        </w:tc>
        <w:tc>
          <w:tcPr>
            <w:tcW w:w="2529" w:type="dxa"/>
            <w:vAlign w:val="bottom"/>
          </w:tcPr>
          <w:p w:rsidR="001C0D62" w:rsidRDefault="001C0D62">
            <w:pPr>
              <w:jc w:val="center"/>
              <w:rPr>
                <w:rFonts w:ascii="Arial" w:hAnsi="Arial" w:cs="Arial"/>
                <w:sz w:val="21"/>
                <w:szCs w:val="21"/>
              </w:rPr>
            </w:pPr>
            <w:r>
              <w:rPr>
                <w:rFonts w:ascii="Arial" w:hAnsi="Arial" w:cs="Arial"/>
                <w:sz w:val="21"/>
                <w:szCs w:val="21"/>
              </w:rPr>
              <w:t>13.0</w:t>
            </w:r>
          </w:p>
        </w:tc>
        <w:tc>
          <w:tcPr>
            <w:tcW w:w="2520" w:type="dxa"/>
            <w:vAlign w:val="bottom"/>
          </w:tcPr>
          <w:p w:rsidR="001C0D62" w:rsidRDefault="001C0D62">
            <w:pPr>
              <w:jc w:val="center"/>
              <w:rPr>
                <w:rFonts w:ascii="Arial" w:hAnsi="Arial" w:cs="Arial"/>
                <w:sz w:val="21"/>
                <w:szCs w:val="21"/>
              </w:rPr>
            </w:pPr>
            <w:r>
              <w:rPr>
                <w:rFonts w:ascii="Arial" w:hAnsi="Arial" w:cs="Arial"/>
                <w:sz w:val="21"/>
                <w:szCs w:val="21"/>
              </w:rPr>
              <w:t>1188.94</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1"/>
                <w:szCs w:val="21"/>
              </w:rPr>
            </w:pPr>
            <w:r>
              <w:rPr>
                <w:rFonts w:ascii="Arial" w:hAnsi="Arial" w:cs="Arial"/>
                <w:sz w:val="21"/>
                <w:szCs w:val="21"/>
              </w:rPr>
              <w:t>2007</w:t>
            </w:r>
          </w:p>
        </w:tc>
        <w:tc>
          <w:tcPr>
            <w:tcW w:w="2529" w:type="dxa"/>
            <w:vAlign w:val="bottom"/>
          </w:tcPr>
          <w:p w:rsidR="001C0D62" w:rsidRDefault="001C0D62">
            <w:pPr>
              <w:jc w:val="center"/>
              <w:rPr>
                <w:rFonts w:ascii="Arial" w:hAnsi="Arial" w:cs="Arial"/>
                <w:sz w:val="21"/>
                <w:szCs w:val="21"/>
              </w:rPr>
            </w:pPr>
            <w:r>
              <w:rPr>
                <w:rFonts w:ascii="Arial" w:hAnsi="Arial" w:cs="Arial"/>
                <w:sz w:val="21"/>
                <w:szCs w:val="21"/>
              </w:rPr>
              <w:t>13.3</w:t>
            </w:r>
          </w:p>
        </w:tc>
        <w:tc>
          <w:tcPr>
            <w:tcW w:w="2520" w:type="dxa"/>
            <w:vAlign w:val="bottom"/>
          </w:tcPr>
          <w:p w:rsidR="001C0D62" w:rsidRDefault="001C0D62">
            <w:pPr>
              <w:jc w:val="center"/>
              <w:rPr>
                <w:rFonts w:ascii="Arial" w:hAnsi="Arial" w:cs="Arial"/>
                <w:sz w:val="21"/>
                <w:szCs w:val="21"/>
              </w:rPr>
            </w:pPr>
            <w:r>
              <w:rPr>
                <w:rFonts w:ascii="Arial" w:hAnsi="Arial" w:cs="Arial"/>
                <w:sz w:val="21"/>
                <w:szCs w:val="21"/>
              </w:rPr>
              <w:t>1573.61</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1"/>
                <w:szCs w:val="21"/>
              </w:rPr>
            </w:pPr>
            <w:r>
              <w:rPr>
                <w:rFonts w:ascii="Arial" w:hAnsi="Arial" w:cs="Arial"/>
                <w:sz w:val="21"/>
                <w:szCs w:val="21"/>
              </w:rPr>
              <w:t>2008</w:t>
            </w:r>
          </w:p>
        </w:tc>
        <w:tc>
          <w:tcPr>
            <w:tcW w:w="2529" w:type="dxa"/>
            <w:vAlign w:val="bottom"/>
          </w:tcPr>
          <w:p w:rsidR="001C0D62" w:rsidRDefault="001C0D62">
            <w:pPr>
              <w:jc w:val="center"/>
              <w:rPr>
                <w:rFonts w:ascii="Arial" w:hAnsi="Arial" w:cs="Arial"/>
                <w:sz w:val="21"/>
                <w:szCs w:val="21"/>
              </w:rPr>
            </w:pPr>
            <w:r>
              <w:rPr>
                <w:rFonts w:ascii="Arial" w:hAnsi="Arial" w:cs="Arial"/>
                <w:sz w:val="21"/>
                <w:szCs w:val="21"/>
              </w:rPr>
              <w:t>12.6</w:t>
            </w:r>
          </w:p>
        </w:tc>
        <w:tc>
          <w:tcPr>
            <w:tcW w:w="2520" w:type="dxa"/>
            <w:vAlign w:val="bottom"/>
          </w:tcPr>
          <w:p w:rsidR="001C0D62" w:rsidRDefault="001C0D62">
            <w:pPr>
              <w:jc w:val="center"/>
              <w:rPr>
                <w:rFonts w:ascii="Arial" w:hAnsi="Arial" w:cs="Arial"/>
                <w:sz w:val="21"/>
                <w:szCs w:val="21"/>
              </w:rPr>
            </w:pPr>
            <w:r>
              <w:rPr>
                <w:rFonts w:ascii="Arial" w:hAnsi="Arial" w:cs="Arial"/>
                <w:sz w:val="21"/>
                <w:szCs w:val="21"/>
              </w:rPr>
              <w:t>1513.99</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1"/>
                <w:szCs w:val="21"/>
              </w:rPr>
            </w:pPr>
            <w:r>
              <w:rPr>
                <w:rFonts w:ascii="Arial" w:hAnsi="Arial" w:cs="Arial"/>
                <w:sz w:val="21"/>
                <w:szCs w:val="21"/>
              </w:rPr>
              <w:t>2009</w:t>
            </w:r>
          </w:p>
        </w:tc>
        <w:tc>
          <w:tcPr>
            <w:tcW w:w="2529" w:type="dxa"/>
            <w:vAlign w:val="bottom"/>
          </w:tcPr>
          <w:p w:rsidR="001C0D62" w:rsidRDefault="001C0D62">
            <w:pPr>
              <w:jc w:val="center"/>
              <w:rPr>
                <w:rFonts w:ascii="Arial" w:hAnsi="Arial" w:cs="Arial"/>
                <w:sz w:val="21"/>
                <w:szCs w:val="21"/>
              </w:rPr>
            </w:pPr>
            <w:r>
              <w:rPr>
                <w:rFonts w:ascii="Arial" w:hAnsi="Arial" w:cs="Arial"/>
                <w:sz w:val="21"/>
                <w:szCs w:val="21"/>
              </w:rPr>
              <w:t>12.5</w:t>
            </w:r>
          </w:p>
        </w:tc>
        <w:tc>
          <w:tcPr>
            <w:tcW w:w="2520" w:type="dxa"/>
            <w:vAlign w:val="bottom"/>
          </w:tcPr>
          <w:p w:rsidR="001C0D62" w:rsidRDefault="001C0D62">
            <w:pPr>
              <w:jc w:val="center"/>
              <w:rPr>
                <w:rFonts w:ascii="Arial" w:hAnsi="Arial" w:cs="Arial"/>
                <w:sz w:val="21"/>
                <w:szCs w:val="21"/>
              </w:rPr>
            </w:pPr>
            <w:r>
              <w:rPr>
                <w:rFonts w:ascii="Arial" w:hAnsi="Arial" w:cs="Arial"/>
                <w:sz w:val="21"/>
                <w:szCs w:val="21"/>
              </w:rPr>
              <w:t>1295.53</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1"/>
                <w:szCs w:val="21"/>
              </w:rPr>
            </w:pPr>
            <w:r>
              <w:rPr>
                <w:rFonts w:ascii="Arial" w:hAnsi="Arial" w:cs="Arial"/>
                <w:sz w:val="21"/>
                <w:szCs w:val="21"/>
              </w:rPr>
              <w:t>2010</w:t>
            </w:r>
          </w:p>
        </w:tc>
        <w:tc>
          <w:tcPr>
            <w:tcW w:w="2529" w:type="dxa"/>
            <w:vAlign w:val="bottom"/>
          </w:tcPr>
          <w:p w:rsidR="001C0D62" w:rsidRDefault="001C0D62">
            <w:pPr>
              <w:jc w:val="center"/>
              <w:rPr>
                <w:rFonts w:ascii="Arial" w:hAnsi="Arial" w:cs="Arial"/>
                <w:sz w:val="21"/>
                <w:szCs w:val="21"/>
              </w:rPr>
            </w:pPr>
            <w:r>
              <w:rPr>
                <w:rFonts w:ascii="Arial" w:hAnsi="Arial" w:cs="Arial"/>
                <w:sz w:val="21"/>
                <w:szCs w:val="21"/>
              </w:rPr>
              <w:t>11.5</w:t>
            </w:r>
          </w:p>
        </w:tc>
        <w:tc>
          <w:tcPr>
            <w:tcW w:w="2520" w:type="dxa"/>
            <w:vAlign w:val="bottom"/>
          </w:tcPr>
          <w:p w:rsidR="001C0D62" w:rsidRDefault="001C0D62">
            <w:pPr>
              <w:jc w:val="center"/>
              <w:rPr>
                <w:rFonts w:ascii="Arial" w:hAnsi="Arial" w:cs="Arial"/>
                <w:sz w:val="21"/>
                <w:szCs w:val="21"/>
              </w:rPr>
            </w:pPr>
            <w:r>
              <w:rPr>
                <w:rFonts w:ascii="Arial" w:hAnsi="Arial" w:cs="Arial"/>
                <w:sz w:val="21"/>
                <w:szCs w:val="21"/>
              </w:rPr>
              <w:t>985.66</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1"/>
                <w:szCs w:val="21"/>
              </w:rPr>
            </w:pPr>
            <w:r>
              <w:rPr>
                <w:rFonts w:ascii="Arial" w:hAnsi="Arial" w:cs="Arial"/>
                <w:sz w:val="21"/>
                <w:szCs w:val="21"/>
              </w:rPr>
              <w:t>2011</w:t>
            </w:r>
          </w:p>
        </w:tc>
        <w:tc>
          <w:tcPr>
            <w:tcW w:w="2529" w:type="dxa"/>
            <w:vAlign w:val="bottom"/>
          </w:tcPr>
          <w:p w:rsidR="001C0D62" w:rsidRDefault="001C0D62">
            <w:pPr>
              <w:jc w:val="center"/>
              <w:rPr>
                <w:rFonts w:ascii="Arial" w:hAnsi="Arial" w:cs="Arial"/>
                <w:sz w:val="21"/>
                <w:szCs w:val="21"/>
              </w:rPr>
            </w:pPr>
            <w:r>
              <w:rPr>
                <w:rFonts w:ascii="Arial" w:hAnsi="Arial" w:cs="Arial"/>
                <w:sz w:val="21"/>
                <w:szCs w:val="21"/>
              </w:rPr>
              <w:t>12.9</w:t>
            </w:r>
          </w:p>
        </w:tc>
        <w:tc>
          <w:tcPr>
            <w:tcW w:w="2520" w:type="dxa"/>
            <w:vAlign w:val="bottom"/>
          </w:tcPr>
          <w:p w:rsidR="001C0D62" w:rsidRDefault="001C0D62">
            <w:pPr>
              <w:jc w:val="center"/>
              <w:rPr>
                <w:rFonts w:ascii="Arial" w:hAnsi="Arial" w:cs="Arial"/>
                <w:sz w:val="21"/>
                <w:szCs w:val="21"/>
              </w:rPr>
            </w:pPr>
            <w:r>
              <w:rPr>
                <w:rFonts w:ascii="Arial" w:hAnsi="Arial" w:cs="Arial"/>
                <w:sz w:val="21"/>
                <w:szCs w:val="21"/>
              </w:rPr>
              <w:t>1287.77</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1"/>
                <w:szCs w:val="21"/>
              </w:rPr>
            </w:pPr>
            <w:r>
              <w:rPr>
                <w:rFonts w:ascii="Arial" w:hAnsi="Arial" w:cs="Arial"/>
                <w:sz w:val="21"/>
                <w:szCs w:val="21"/>
              </w:rPr>
              <w:t>2012</w:t>
            </w:r>
          </w:p>
        </w:tc>
        <w:tc>
          <w:tcPr>
            <w:tcW w:w="2529" w:type="dxa"/>
            <w:vAlign w:val="bottom"/>
          </w:tcPr>
          <w:p w:rsidR="001C0D62" w:rsidRDefault="001C0D62">
            <w:pPr>
              <w:jc w:val="center"/>
              <w:rPr>
                <w:rFonts w:ascii="Arial" w:hAnsi="Arial" w:cs="Arial"/>
                <w:sz w:val="21"/>
                <w:szCs w:val="21"/>
              </w:rPr>
            </w:pPr>
            <w:r>
              <w:rPr>
                <w:rFonts w:ascii="Arial" w:hAnsi="Arial" w:cs="Arial"/>
                <w:sz w:val="21"/>
                <w:szCs w:val="21"/>
              </w:rPr>
              <w:t>12.0</w:t>
            </w:r>
          </w:p>
        </w:tc>
        <w:tc>
          <w:tcPr>
            <w:tcW w:w="2520" w:type="dxa"/>
            <w:vAlign w:val="bottom"/>
          </w:tcPr>
          <w:p w:rsidR="001C0D62" w:rsidRDefault="001C0D62">
            <w:pPr>
              <w:jc w:val="center"/>
              <w:rPr>
                <w:rFonts w:ascii="Arial" w:hAnsi="Arial" w:cs="Arial"/>
                <w:sz w:val="21"/>
                <w:szCs w:val="21"/>
              </w:rPr>
            </w:pPr>
            <w:r>
              <w:rPr>
                <w:rFonts w:ascii="Arial" w:hAnsi="Arial" w:cs="Arial"/>
                <w:sz w:val="21"/>
                <w:szCs w:val="21"/>
              </w:rPr>
              <w:t>1656.33</w:t>
            </w:r>
          </w:p>
        </w:tc>
      </w:tr>
    </w:tbl>
    <w:p w:rsidR="001C0D62" w:rsidRDefault="001C0D62">
      <w:pPr>
        <w:pStyle w:val="Footer"/>
        <w:tabs>
          <w:tab w:val="clear" w:pos="4320"/>
          <w:tab w:val="clear" w:pos="8640"/>
        </w:tabs>
        <w:jc w:val="center"/>
        <w:rPr>
          <w:rFonts w:ascii="Arial" w:hAnsi="Arial" w:cs="Arial"/>
          <w:b/>
          <w:bCs/>
          <w:sz w:val="32"/>
          <w:u w:val="single"/>
        </w:rPr>
      </w:pPr>
      <w:r>
        <w:rPr>
          <w:rFonts w:ascii="Arial" w:hAnsi="Arial" w:cs="Arial"/>
          <w:b/>
          <w:bCs/>
          <w:sz w:val="32"/>
          <w:u w:val="single"/>
        </w:rPr>
        <w:t>Appendix F</w:t>
      </w:r>
    </w:p>
    <w:p w:rsidR="001C0D62" w:rsidRDefault="001C0D62">
      <w:pPr>
        <w:pStyle w:val="Footer"/>
        <w:tabs>
          <w:tab w:val="clear" w:pos="4320"/>
          <w:tab w:val="clear" w:pos="8640"/>
        </w:tabs>
        <w:jc w:val="center"/>
        <w:rPr>
          <w:rFonts w:ascii="Arial" w:hAnsi="Arial" w:cs="Arial"/>
          <w:b/>
          <w:bCs/>
          <w:u w:val="single"/>
        </w:rPr>
      </w:pPr>
    </w:p>
    <w:p w:rsidR="001C0D62" w:rsidRDefault="001C0D62">
      <w:pPr>
        <w:pStyle w:val="Footer"/>
        <w:tabs>
          <w:tab w:val="clear" w:pos="4320"/>
          <w:tab w:val="clear" w:pos="8640"/>
        </w:tabs>
        <w:jc w:val="center"/>
        <w:rPr>
          <w:rFonts w:ascii="Arial" w:hAnsi="Arial" w:cs="Arial"/>
          <w:b/>
          <w:bCs/>
          <w:u w:val="single"/>
        </w:rPr>
      </w:pPr>
      <w:r>
        <w:rPr>
          <w:rFonts w:ascii="Arial" w:hAnsi="Arial" w:cs="Arial"/>
          <w:b/>
          <w:bCs/>
          <w:u w:val="single"/>
        </w:rPr>
        <w:t>Comparison of precipitation and temperature data (1972 – 2012)</w:t>
      </w:r>
    </w:p>
    <w:p w:rsidR="001C0D62" w:rsidRDefault="001C0D62">
      <w:pPr>
        <w:pStyle w:val="Footer"/>
        <w:tabs>
          <w:tab w:val="clear" w:pos="4320"/>
          <w:tab w:val="clear" w:pos="8640"/>
        </w:tabs>
        <w:rPr>
          <w:rFonts w:ascii="Arial" w:hAnsi="Arial" w:cs="Arial"/>
        </w:rPr>
      </w:pPr>
    </w:p>
    <w:p w:rsidR="001C0D62" w:rsidRDefault="001C0D62">
      <w:pPr>
        <w:jc w:val="both"/>
        <w:rPr>
          <w:rFonts w:ascii="Arial" w:hAnsi="Arial" w:cs="Arial"/>
        </w:rPr>
      </w:pPr>
      <w:r>
        <w:rPr>
          <w:rFonts w:ascii="Arial" w:hAnsi="Arial" w:cs="Arial"/>
        </w:rPr>
        <w:t>Figure 4.6 shows the annual precipitation levels and temperature averages between 1972 and 2012. The graph appears to not show any particular clear relationship, however, in places as the precipitation decreases, the temperature increases such as 1976 where the precipitation is 953.62mm with a temperature of 12.5˚C. Again this pattern is visible in 1989 as well as 1995 etc. However, this is not always the case, as there are certain years where the opposite is true: low temperatures along with low precipitation rates. For example, 2010 had an annual precipitation level of 985.66mm with a temperature average of just 11.5˚C.</w:t>
      </w:r>
    </w:p>
    <w:p w:rsidR="001C0D62" w:rsidRDefault="001C0D62">
      <w:pPr>
        <w:jc w:val="both"/>
        <w:rPr>
          <w:rFonts w:ascii="Arial" w:hAnsi="Arial" w:cs="Arial"/>
        </w:rPr>
      </w:pPr>
    </w:p>
    <w:p w:rsidR="001C0D62" w:rsidRDefault="001C0D62">
      <w:pPr>
        <w:jc w:val="both"/>
        <w:rPr>
          <w:rFonts w:ascii="Arial" w:hAnsi="Arial" w:cs="Arial"/>
        </w:rPr>
      </w:pPr>
    </w:p>
    <w:p w:rsidR="001C0D62" w:rsidRDefault="001C0D62">
      <w:pPr>
        <w:pStyle w:val="BodyText2"/>
        <w:jc w:val="center"/>
        <w:rPr>
          <w:b/>
          <w:bCs/>
          <w:u w:val="single"/>
        </w:rPr>
      </w:pPr>
      <w:r>
        <w:rPr>
          <w:b/>
          <w:bCs/>
          <w:u w:val="single"/>
        </w:rPr>
        <w:t>Figure 4.6: The annual precipitation levels (mm) Vs the annual average temperature (ºC) between 1972 and 2012.</w:t>
      </w:r>
    </w:p>
    <w:p w:rsidR="001C0D62" w:rsidRDefault="001C0D62">
      <w:pPr>
        <w:jc w:val="both"/>
        <w:rPr>
          <w:rFonts w:ascii="Arial" w:hAnsi="Arial" w:cs="Arial"/>
        </w:rPr>
      </w:pPr>
    </w:p>
    <w:p w:rsidR="001C0D62" w:rsidRDefault="001F31B4">
      <w:pPr>
        <w:jc w:val="center"/>
      </w:pPr>
      <w:r>
        <w:rPr>
          <w:noProof/>
          <w:lang w:val="en-GB" w:eastAsia="en-GB"/>
        </w:rPr>
        <w:drawing>
          <wp:inline distT="0" distB="0" distL="0" distR="0">
            <wp:extent cx="5486400" cy="3225800"/>
            <wp:effectExtent l="0" t="0" r="0" b="0"/>
            <wp:docPr id="36" name="Object 3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1C0D62" w:rsidRDefault="001C0D62"/>
    <w:p w:rsidR="001C0D62" w:rsidRDefault="001C0D62">
      <w:pPr>
        <w:pStyle w:val="BodyText"/>
        <w:jc w:val="both"/>
        <w:rPr>
          <w:b w:val="0"/>
          <w:bCs w:val="0"/>
          <w:sz w:val="24"/>
          <w:u w:val="none"/>
        </w:rPr>
      </w:pPr>
      <w:r>
        <w:rPr>
          <w:b w:val="0"/>
          <w:bCs w:val="0"/>
          <w:sz w:val="24"/>
          <w:u w:val="none"/>
        </w:rPr>
        <w:t xml:space="preserve">Normal distribution tests were undertaken for the annual precipitation and average annual temperatures. The P-value for the annual precipitation is 0.477. As the P-value is greater than 0.05 the normality test shows that the annual precipitation data set is normally distributed. The P-value for the average annual temperature is 0.300. As this value is greater than 0.05, the data is normally distributed. As both the precipitation and temperature data sets are normally distributed a Pearson’s rank correlation test will be performed. </w:t>
      </w:r>
    </w:p>
    <w:p w:rsidR="001C0D62" w:rsidRDefault="001C0D62">
      <w:pPr>
        <w:jc w:val="both"/>
      </w:pPr>
    </w:p>
    <w:p w:rsidR="001C0D62" w:rsidRDefault="001C0D62">
      <w:pPr>
        <w:pStyle w:val="BodyText"/>
        <w:jc w:val="both"/>
        <w:rPr>
          <w:b w:val="0"/>
          <w:bCs w:val="0"/>
          <w:sz w:val="24"/>
          <w:u w:val="none"/>
        </w:rPr>
      </w:pPr>
      <w:r>
        <w:rPr>
          <w:b w:val="0"/>
          <w:bCs w:val="0"/>
          <w:sz w:val="24"/>
          <w:u w:val="none"/>
        </w:rPr>
        <w:t>The Pearson’s rank correlation test has given a correlation (r) value of 0.003 between the annual precipitation and average annual temperature data sets. This value indicates that there is no linear relationship. The test also provided a P-value of 0.983 suggesting that there is no significant correlation between the two variables.</w:t>
      </w:r>
    </w:p>
    <w:p w:rsidR="001C0D62" w:rsidRDefault="001C0D62">
      <w:pPr>
        <w:jc w:val="both"/>
        <w:rPr>
          <w:rFonts w:ascii="Arial" w:hAnsi="Arial" w:cs="Arial"/>
          <w:lang w:val="en-GB" w:eastAsia="en-GB"/>
        </w:rPr>
      </w:pPr>
    </w:p>
    <w:p w:rsidR="001C0D62" w:rsidRDefault="001C0D62">
      <w:pPr>
        <w:jc w:val="both"/>
        <w:rPr>
          <w:rFonts w:ascii="Arial" w:hAnsi="Arial" w:cs="Arial"/>
          <w:lang w:val="en-GB" w:eastAsia="en-GB"/>
        </w:rPr>
      </w:pPr>
      <w:r>
        <w:rPr>
          <w:rFonts w:ascii="Arial" w:hAnsi="Arial" w:cs="Arial"/>
          <w:lang w:val="en-GB" w:eastAsia="en-GB"/>
        </w:rPr>
        <w:t>Null hypothesis: There is no relationship between the annual precipitation and the average annual temperature.</w:t>
      </w:r>
    </w:p>
    <w:p w:rsidR="001C0D62" w:rsidRDefault="001C0D62">
      <w:pPr>
        <w:jc w:val="both"/>
        <w:rPr>
          <w:rFonts w:ascii="Arial" w:hAnsi="Arial" w:cs="Arial"/>
          <w:lang w:val="en-GB" w:eastAsia="en-GB"/>
        </w:rPr>
      </w:pPr>
    </w:p>
    <w:p w:rsidR="001C0D62" w:rsidRDefault="001C0D62">
      <w:pPr>
        <w:pStyle w:val="BodyText"/>
        <w:jc w:val="both"/>
        <w:rPr>
          <w:b w:val="0"/>
          <w:bCs w:val="0"/>
          <w:sz w:val="24"/>
          <w:u w:val="none"/>
        </w:rPr>
      </w:pPr>
      <w:r>
        <w:rPr>
          <w:b w:val="0"/>
          <w:bCs w:val="0"/>
          <w:sz w:val="24"/>
          <w:u w:val="none"/>
          <w:lang w:val="en-GB" w:eastAsia="en-GB"/>
        </w:rPr>
        <w:t>Alternative hypothesis: There is a relationship between</w:t>
      </w:r>
      <w:r>
        <w:rPr>
          <w:b w:val="0"/>
          <w:bCs w:val="0"/>
          <w:sz w:val="24"/>
          <w:u w:val="none"/>
        </w:rPr>
        <w:t xml:space="preserve"> the annual precipitation and the Average annual temperature.</w:t>
      </w:r>
    </w:p>
    <w:p w:rsidR="001C0D62" w:rsidRDefault="001C0D62">
      <w:pPr>
        <w:jc w:val="both"/>
        <w:rPr>
          <w:rFonts w:ascii="Arial" w:hAnsi="Arial" w:cs="Arial"/>
        </w:rPr>
      </w:pPr>
    </w:p>
    <w:p w:rsidR="001C0D62" w:rsidRDefault="001C0D62">
      <w:pPr>
        <w:jc w:val="both"/>
        <w:rPr>
          <w:rFonts w:ascii="Arial" w:hAnsi="Arial" w:cs="Arial"/>
          <w:i/>
          <w:iCs/>
        </w:rPr>
      </w:pPr>
      <w:r>
        <w:rPr>
          <w:rFonts w:ascii="Arial" w:hAnsi="Arial" w:cs="Arial"/>
          <w:i/>
          <w:iCs/>
        </w:rPr>
        <w:t>The correlation coefficient was calculated:</w:t>
      </w:r>
    </w:p>
    <w:p w:rsidR="001C0D62" w:rsidRDefault="001C0D62">
      <w:pPr>
        <w:pStyle w:val="BodyText"/>
        <w:jc w:val="both"/>
        <w:rPr>
          <w:b w:val="0"/>
          <w:bCs w:val="0"/>
          <w:i/>
          <w:iCs/>
          <w:sz w:val="24"/>
          <w:u w:val="none"/>
        </w:rPr>
      </w:pPr>
      <w:r>
        <w:rPr>
          <w:b w:val="0"/>
          <w:bCs w:val="0"/>
          <w:i/>
          <w:iCs/>
          <w:sz w:val="24"/>
          <w:u w:val="none"/>
        </w:rPr>
        <w:t>r²= 0.000009 – 0%</w:t>
      </w:r>
    </w:p>
    <w:p w:rsidR="001C0D62" w:rsidRDefault="001C0D62">
      <w:pPr>
        <w:pStyle w:val="BodyText"/>
        <w:jc w:val="both"/>
        <w:rPr>
          <w:b w:val="0"/>
          <w:bCs w:val="0"/>
          <w:sz w:val="24"/>
          <w:u w:val="none"/>
        </w:rPr>
      </w:pPr>
      <w:r>
        <w:rPr>
          <w:b w:val="0"/>
          <w:bCs w:val="0"/>
          <w:i/>
          <w:iCs/>
          <w:sz w:val="24"/>
          <w:u w:val="none"/>
        </w:rPr>
        <w:t>0% of the variation in temperature can be explained by the variation in precipitation.</w:t>
      </w:r>
    </w:p>
    <w:p w:rsidR="001C0D62" w:rsidRDefault="001C0D62">
      <w:pPr>
        <w:jc w:val="both"/>
      </w:pPr>
    </w:p>
    <w:p w:rsidR="001C0D62" w:rsidRDefault="001C0D62">
      <w:pPr>
        <w:pStyle w:val="BodyText"/>
        <w:jc w:val="both"/>
      </w:pPr>
      <w:r>
        <w:rPr>
          <w:b w:val="0"/>
          <w:bCs w:val="0"/>
          <w:sz w:val="24"/>
          <w:u w:val="none"/>
        </w:rPr>
        <w:t>The critical value shows that the correlation coefficient figure of 0.000009 shows no level of significance that would be considered not due to chance (greater than the rejection level of 5%). Therefore the null hypothesis was accepted as no relationship was found.</w:t>
      </w:r>
    </w:p>
    <w:p w:rsidR="001C0D62" w:rsidRDefault="001C0D62">
      <w:pPr>
        <w:jc w:val="both"/>
      </w:pPr>
    </w:p>
    <w:p w:rsidR="001C0D62" w:rsidRDefault="001C0D62">
      <w:pPr>
        <w:jc w:val="both"/>
      </w:pPr>
      <w:r>
        <w:rPr>
          <w:rFonts w:ascii="Arial" w:hAnsi="Arial" w:cs="Arial"/>
        </w:rPr>
        <w:t>As the correlation is not significant it suggests that the annual precipitation has little or no effect on the level of the average annual temperature (as shown in figure 4.7).</w:t>
      </w:r>
    </w:p>
    <w:p w:rsidR="001C0D62" w:rsidRDefault="001C0D62">
      <w:pPr>
        <w:jc w:val="both"/>
      </w:pPr>
    </w:p>
    <w:p w:rsidR="001C0D62" w:rsidRDefault="001C0D62">
      <w:pPr>
        <w:pStyle w:val="BodyText2"/>
        <w:jc w:val="center"/>
        <w:rPr>
          <w:b/>
          <w:bCs/>
          <w:u w:val="single"/>
        </w:rPr>
      </w:pPr>
      <w:r>
        <w:rPr>
          <w:b/>
          <w:bCs/>
          <w:u w:val="single"/>
        </w:rPr>
        <w:t>Figure 4.7: Scatter graph showing the annual average temperature (ºC) Vs the annual precipitation levels (mm)</w:t>
      </w:r>
    </w:p>
    <w:p w:rsidR="001C0D62" w:rsidRDefault="001C0D62">
      <w:pPr>
        <w:pStyle w:val="Footer"/>
        <w:tabs>
          <w:tab w:val="clear" w:pos="4320"/>
          <w:tab w:val="clear" w:pos="8640"/>
        </w:tabs>
        <w:jc w:val="center"/>
        <w:rPr>
          <w:rFonts w:ascii="Arial" w:hAnsi="Arial" w:cs="Arial"/>
        </w:rPr>
      </w:pPr>
      <w:r>
        <w:object w:dxaOrig="8640" w:dyaOrig="5760">
          <v:shape id="_x0000_i1061" type="#_x0000_t75" style="width:351pt;height:235pt" o:ole="">
            <v:imagedata r:id="rId94" o:title=""/>
          </v:shape>
          <o:OLEObject Type="Embed" ProgID="MtbGraph.Document.16" ShapeID="_x0000_i1061" DrawAspect="Content" ObjectID="_1432030851" r:id="rId95"/>
        </w:object>
      </w:r>
    </w:p>
    <w:p w:rsidR="001C0D62" w:rsidRDefault="001C0D62">
      <w:pPr>
        <w:pStyle w:val="Footer"/>
        <w:tabs>
          <w:tab w:val="clear" w:pos="4320"/>
          <w:tab w:val="clear" w:pos="8640"/>
        </w:tabs>
        <w:jc w:val="center"/>
        <w:rPr>
          <w:rFonts w:ascii="Arial" w:hAnsi="Arial" w:cs="Arial"/>
          <w:b/>
          <w:bCs/>
          <w:sz w:val="32"/>
          <w:u w:val="single"/>
        </w:rPr>
      </w:pPr>
    </w:p>
    <w:p w:rsidR="001C0D62" w:rsidRDefault="001C0D62">
      <w:pPr>
        <w:pStyle w:val="Footer"/>
        <w:tabs>
          <w:tab w:val="clear" w:pos="4320"/>
          <w:tab w:val="clear" w:pos="8640"/>
        </w:tabs>
        <w:jc w:val="center"/>
        <w:rPr>
          <w:rFonts w:ascii="Arial" w:hAnsi="Arial" w:cs="Arial"/>
          <w:b/>
          <w:bCs/>
          <w:sz w:val="32"/>
          <w:u w:val="single"/>
        </w:rPr>
      </w:pPr>
      <w:r>
        <w:rPr>
          <w:rFonts w:ascii="Arial" w:hAnsi="Arial" w:cs="Arial"/>
          <w:b/>
          <w:bCs/>
          <w:sz w:val="32"/>
          <w:u w:val="single"/>
        </w:rPr>
        <w:t>Appendix G</w:t>
      </w: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jc w:val="center"/>
        <w:rPr>
          <w:rFonts w:ascii="Arial" w:hAnsi="Arial" w:cs="Arial"/>
          <w:b/>
          <w:u w:val="single"/>
        </w:rPr>
      </w:pPr>
      <w:r>
        <w:rPr>
          <w:rFonts w:ascii="Arial" w:hAnsi="Arial" w:cs="Arial"/>
          <w:b/>
          <w:u w:val="single"/>
        </w:rPr>
        <w:t>Raw ring width data (mm) for other studies</w:t>
      </w: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u w:val="single"/>
        </w:rPr>
      </w:pPr>
    </w:p>
    <w:p w:rsidR="001C0D62" w:rsidRDefault="001C0D62">
      <w:pPr>
        <w:pStyle w:val="Footer"/>
        <w:tabs>
          <w:tab w:val="clear" w:pos="4320"/>
          <w:tab w:val="clear" w:pos="8640"/>
        </w:tabs>
        <w:rPr>
          <w:rFonts w:ascii="Arial" w:hAnsi="Arial" w:cs="Arial"/>
          <w:u w:val="single"/>
        </w:rPr>
      </w:pPr>
      <w:r>
        <w:rPr>
          <w:rFonts w:ascii="Arial" w:hAnsi="Arial" w:cs="Arial"/>
          <w:u w:val="single"/>
        </w:rPr>
        <w:t xml:space="preserve">Table 3: </w:t>
      </w:r>
      <w:smartTag w:uri="urn:schemas-microsoft-com:office:smarttags" w:element="place">
        <w:r>
          <w:rPr>
            <w:rFonts w:ascii="Arial" w:hAnsi="Arial" w:cs="Arial"/>
            <w:u w:val="single"/>
          </w:rPr>
          <w:t>Sheffield</w:t>
        </w:r>
      </w:smartTag>
      <w:r>
        <w:rPr>
          <w:rFonts w:ascii="Arial" w:hAnsi="Arial" w:cs="Arial"/>
          <w:u w:val="single"/>
        </w:rPr>
        <w:t xml:space="preserve"> data</w:t>
      </w:r>
    </w:p>
    <w:p w:rsidR="001C0D62" w:rsidRDefault="001C0D62">
      <w:pPr>
        <w:pStyle w:val="Footer"/>
        <w:tabs>
          <w:tab w:val="clear" w:pos="4320"/>
          <w:tab w:val="clear" w:pos="8640"/>
        </w:tabs>
        <w:rPr>
          <w:rFonts w:ascii="Arial" w:hAnsi="Arial" w:cs="Arial"/>
          <w:u w:val="single"/>
        </w:rPr>
      </w:pPr>
    </w:p>
    <w:p w:rsidR="001C0D62" w:rsidRDefault="001C0D62">
      <w:pPr>
        <w:pStyle w:val="Footer"/>
        <w:tabs>
          <w:tab w:val="clear" w:pos="4320"/>
          <w:tab w:val="clear" w:pos="8640"/>
        </w:tabs>
        <w:rPr>
          <w:rFonts w:ascii="Arial" w:hAnsi="Arial" w:cs="Arial"/>
        </w:rPr>
      </w:pPr>
      <w:r>
        <w:rPr>
          <w:rFonts w:ascii="Arial" w:hAnsi="Arial" w:cs="Arial"/>
        </w:rPr>
        <w:t xml:space="preserve">The table shows the average annual ring widths of Oak tree core samples from </w:t>
      </w:r>
      <w:smartTag w:uri="urn:schemas-microsoft-com:office:smarttags" w:element="place">
        <w:r>
          <w:rPr>
            <w:rFonts w:ascii="Arial" w:hAnsi="Arial" w:cs="Arial"/>
          </w:rPr>
          <w:t>Sheffield</w:t>
        </w:r>
      </w:smartTag>
      <w:r>
        <w:rPr>
          <w:rFonts w:ascii="Arial" w:hAnsi="Arial" w:cs="Arial"/>
        </w:rPr>
        <w:t xml:space="preserve"> between 1972 and 2003 (NCDC, 2013). </w:t>
      </w: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8"/>
        <w:gridCol w:w="2529"/>
      </w:tblGrid>
      <w:tr w:rsidR="001C0D62">
        <w:tblPrEx>
          <w:tblCellMar>
            <w:top w:w="0" w:type="dxa"/>
            <w:bottom w:w="0" w:type="dxa"/>
          </w:tblCellMar>
        </w:tblPrEx>
        <w:trPr>
          <w:jc w:val="center"/>
        </w:trPr>
        <w:tc>
          <w:tcPr>
            <w:tcW w:w="1188" w:type="dxa"/>
          </w:tcPr>
          <w:p w:rsidR="001C0D62" w:rsidRDefault="001C0D62">
            <w:pPr>
              <w:pStyle w:val="Heading2"/>
              <w:rPr>
                <w:sz w:val="22"/>
                <w:u w:val="none"/>
              </w:rPr>
            </w:pPr>
            <w:r>
              <w:rPr>
                <w:sz w:val="22"/>
                <w:u w:val="none"/>
              </w:rPr>
              <w:t>Year</w:t>
            </w:r>
          </w:p>
        </w:tc>
        <w:tc>
          <w:tcPr>
            <w:tcW w:w="2529" w:type="dxa"/>
          </w:tcPr>
          <w:p w:rsidR="001C0D62" w:rsidRDefault="001C0D62">
            <w:pPr>
              <w:jc w:val="center"/>
              <w:rPr>
                <w:rFonts w:ascii="Arial" w:hAnsi="Arial" w:cs="Arial"/>
                <w:b/>
                <w:bCs/>
                <w:sz w:val="22"/>
              </w:rPr>
            </w:pPr>
            <w:smartTag w:uri="urn:schemas-microsoft-com:office:smarttags" w:element="place">
              <w:r>
                <w:rPr>
                  <w:rFonts w:ascii="Arial" w:hAnsi="Arial" w:cs="Arial"/>
                  <w:b/>
                  <w:bCs/>
                  <w:sz w:val="22"/>
                </w:rPr>
                <w:t>Sheffield</w:t>
              </w:r>
            </w:smartTag>
            <w:r>
              <w:rPr>
                <w:rFonts w:ascii="Arial" w:hAnsi="Arial" w:cs="Arial"/>
                <w:b/>
                <w:bCs/>
                <w:sz w:val="22"/>
              </w:rPr>
              <w:t xml:space="preserve"> Oak ring widths (mm)</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3"/>
              </w:rPr>
            </w:pPr>
            <w:r>
              <w:rPr>
                <w:rFonts w:ascii="Arial" w:hAnsi="Arial" w:cs="Arial"/>
                <w:sz w:val="23"/>
              </w:rPr>
              <w:t xml:space="preserve"> 1972</w:t>
            </w:r>
          </w:p>
        </w:tc>
        <w:tc>
          <w:tcPr>
            <w:tcW w:w="2529" w:type="dxa"/>
            <w:vAlign w:val="bottom"/>
          </w:tcPr>
          <w:p w:rsidR="001C0D62" w:rsidRDefault="001C0D62">
            <w:pPr>
              <w:jc w:val="center"/>
              <w:rPr>
                <w:rFonts w:ascii="Arial" w:hAnsi="Arial" w:cs="Arial"/>
                <w:sz w:val="23"/>
                <w:szCs w:val="20"/>
              </w:rPr>
            </w:pPr>
            <w:r>
              <w:rPr>
                <w:rFonts w:ascii="Arial" w:hAnsi="Arial" w:cs="Arial"/>
                <w:sz w:val="23"/>
                <w:szCs w:val="20"/>
              </w:rPr>
              <w:t>1.07</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3"/>
              </w:rPr>
            </w:pPr>
            <w:r>
              <w:rPr>
                <w:rFonts w:ascii="Arial" w:hAnsi="Arial" w:cs="Arial"/>
                <w:sz w:val="23"/>
              </w:rPr>
              <w:t>1973</w:t>
            </w:r>
          </w:p>
        </w:tc>
        <w:tc>
          <w:tcPr>
            <w:tcW w:w="2529" w:type="dxa"/>
            <w:vAlign w:val="bottom"/>
          </w:tcPr>
          <w:p w:rsidR="001C0D62" w:rsidRDefault="001C0D62">
            <w:pPr>
              <w:jc w:val="center"/>
              <w:rPr>
                <w:rFonts w:ascii="Arial" w:hAnsi="Arial" w:cs="Arial"/>
                <w:sz w:val="23"/>
                <w:szCs w:val="20"/>
              </w:rPr>
            </w:pPr>
            <w:r>
              <w:rPr>
                <w:rFonts w:ascii="Arial" w:hAnsi="Arial" w:cs="Arial"/>
                <w:sz w:val="23"/>
                <w:szCs w:val="20"/>
              </w:rPr>
              <w:t>1.44</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3"/>
              </w:rPr>
            </w:pPr>
            <w:r>
              <w:rPr>
                <w:rFonts w:ascii="Arial" w:hAnsi="Arial" w:cs="Arial"/>
                <w:sz w:val="23"/>
              </w:rPr>
              <w:t>1974</w:t>
            </w:r>
          </w:p>
        </w:tc>
        <w:tc>
          <w:tcPr>
            <w:tcW w:w="2529" w:type="dxa"/>
            <w:vAlign w:val="bottom"/>
          </w:tcPr>
          <w:p w:rsidR="001C0D62" w:rsidRDefault="001C0D62">
            <w:pPr>
              <w:jc w:val="center"/>
              <w:rPr>
                <w:rFonts w:ascii="Arial" w:hAnsi="Arial" w:cs="Arial"/>
                <w:sz w:val="23"/>
                <w:szCs w:val="20"/>
              </w:rPr>
            </w:pPr>
            <w:r>
              <w:rPr>
                <w:rFonts w:ascii="Arial" w:hAnsi="Arial" w:cs="Arial"/>
                <w:sz w:val="23"/>
                <w:szCs w:val="20"/>
              </w:rPr>
              <w:t>1.47</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3"/>
              </w:rPr>
            </w:pPr>
            <w:r>
              <w:rPr>
                <w:rFonts w:ascii="Arial" w:hAnsi="Arial" w:cs="Arial"/>
                <w:sz w:val="23"/>
              </w:rPr>
              <w:t>1975</w:t>
            </w:r>
          </w:p>
        </w:tc>
        <w:tc>
          <w:tcPr>
            <w:tcW w:w="2529" w:type="dxa"/>
            <w:vAlign w:val="bottom"/>
          </w:tcPr>
          <w:p w:rsidR="001C0D62" w:rsidRDefault="001C0D62">
            <w:pPr>
              <w:jc w:val="center"/>
              <w:rPr>
                <w:rFonts w:ascii="Arial" w:hAnsi="Arial" w:cs="Arial"/>
                <w:sz w:val="23"/>
                <w:szCs w:val="20"/>
              </w:rPr>
            </w:pPr>
            <w:r>
              <w:rPr>
                <w:rFonts w:ascii="Arial" w:hAnsi="Arial" w:cs="Arial"/>
                <w:sz w:val="23"/>
                <w:szCs w:val="20"/>
              </w:rPr>
              <w:t>1.34</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3"/>
              </w:rPr>
            </w:pPr>
            <w:r>
              <w:rPr>
                <w:rFonts w:ascii="Arial" w:hAnsi="Arial" w:cs="Arial"/>
                <w:sz w:val="23"/>
              </w:rPr>
              <w:t>1976</w:t>
            </w:r>
          </w:p>
        </w:tc>
        <w:tc>
          <w:tcPr>
            <w:tcW w:w="2529" w:type="dxa"/>
            <w:vAlign w:val="bottom"/>
          </w:tcPr>
          <w:p w:rsidR="001C0D62" w:rsidRDefault="001C0D62">
            <w:pPr>
              <w:jc w:val="center"/>
              <w:rPr>
                <w:rFonts w:ascii="Arial" w:hAnsi="Arial" w:cs="Arial"/>
                <w:sz w:val="23"/>
                <w:szCs w:val="20"/>
              </w:rPr>
            </w:pPr>
            <w:r>
              <w:rPr>
                <w:rFonts w:ascii="Arial" w:hAnsi="Arial" w:cs="Arial"/>
                <w:sz w:val="23"/>
                <w:szCs w:val="20"/>
              </w:rPr>
              <w:t>1.19</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3"/>
              </w:rPr>
            </w:pPr>
            <w:r>
              <w:rPr>
                <w:rFonts w:ascii="Arial" w:hAnsi="Arial" w:cs="Arial"/>
                <w:sz w:val="23"/>
              </w:rPr>
              <w:t>1977</w:t>
            </w:r>
          </w:p>
        </w:tc>
        <w:tc>
          <w:tcPr>
            <w:tcW w:w="2529" w:type="dxa"/>
            <w:vAlign w:val="bottom"/>
          </w:tcPr>
          <w:p w:rsidR="001C0D62" w:rsidRDefault="001C0D62">
            <w:pPr>
              <w:jc w:val="center"/>
              <w:rPr>
                <w:rFonts w:ascii="Arial" w:hAnsi="Arial" w:cs="Arial"/>
                <w:sz w:val="23"/>
                <w:szCs w:val="20"/>
              </w:rPr>
            </w:pPr>
            <w:r>
              <w:rPr>
                <w:rFonts w:ascii="Arial" w:hAnsi="Arial" w:cs="Arial"/>
                <w:sz w:val="23"/>
                <w:szCs w:val="20"/>
              </w:rPr>
              <w:t>1.15</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3"/>
              </w:rPr>
            </w:pPr>
            <w:r>
              <w:rPr>
                <w:rFonts w:ascii="Arial" w:hAnsi="Arial" w:cs="Arial"/>
                <w:sz w:val="23"/>
              </w:rPr>
              <w:t>1978</w:t>
            </w:r>
          </w:p>
        </w:tc>
        <w:tc>
          <w:tcPr>
            <w:tcW w:w="2529" w:type="dxa"/>
            <w:vAlign w:val="bottom"/>
          </w:tcPr>
          <w:p w:rsidR="001C0D62" w:rsidRDefault="001C0D62">
            <w:pPr>
              <w:jc w:val="center"/>
              <w:rPr>
                <w:rFonts w:ascii="Arial" w:hAnsi="Arial" w:cs="Arial"/>
                <w:sz w:val="23"/>
                <w:szCs w:val="20"/>
              </w:rPr>
            </w:pPr>
            <w:r>
              <w:rPr>
                <w:rFonts w:ascii="Arial" w:hAnsi="Arial" w:cs="Arial"/>
                <w:sz w:val="23"/>
                <w:szCs w:val="20"/>
              </w:rPr>
              <w:t>2.12</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3"/>
              </w:rPr>
            </w:pPr>
            <w:r>
              <w:rPr>
                <w:rFonts w:ascii="Arial" w:hAnsi="Arial" w:cs="Arial"/>
                <w:sz w:val="23"/>
              </w:rPr>
              <w:t>1979</w:t>
            </w:r>
          </w:p>
        </w:tc>
        <w:tc>
          <w:tcPr>
            <w:tcW w:w="2529" w:type="dxa"/>
            <w:vAlign w:val="bottom"/>
          </w:tcPr>
          <w:p w:rsidR="001C0D62" w:rsidRDefault="001C0D62">
            <w:pPr>
              <w:jc w:val="center"/>
              <w:rPr>
                <w:rFonts w:ascii="Arial" w:hAnsi="Arial" w:cs="Arial"/>
                <w:sz w:val="23"/>
                <w:szCs w:val="20"/>
              </w:rPr>
            </w:pPr>
            <w:r>
              <w:rPr>
                <w:rFonts w:ascii="Arial" w:hAnsi="Arial" w:cs="Arial"/>
                <w:sz w:val="23"/>
                <w:szCs w:val="20"/>
              </w:rPr>
              <w:t>2.12</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3"/>
              </w:rPr>
            </w:pPr>
            <w:r>
              <w:rPr>
                <w:rFonts w:ascii="Arial" w:hAnsi="Arial" w:cs="Arial"/>
                <w:sz w:val="23"/>
              </w:rPr>
              <w:t>1980</w:t>
            </w:r>
          </w:p>
        </w:tc>
        <w:tc>
          <w:tcPr>
            <w:tcW w:w="2529" w:type="dxa"/>
            <w:vAlign w:val="bottom"/>
          </w:tcPr>
          <w:p w:rsidR="001C0D62" w:rsidRDefault="001C0D62">
            <w:pPr>
              <w:jc w:val="center"/>
              <w:rPr>
                <w:rFonts w:ascii="Arial" w:hAnsi="Arial" w:cs="Arial"/>
                <w:sz w:val="23"/>
                <w:szCs w:val="20"/>
              </w:rPr>
            </w:pPr>
            <w:r>
              <w:rPr>
                <w:rFonts w:ascii="Arial" w:hAnsi="Arial" w:cs="Arial"/>
                <w:sz w:val="23"/>
                <w:szCs w:val="20"/>
              </w:rPr>
              <w:t>1.94</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3"/>
              </w:rPr>
            </w:pPr>
            <w:r>
              <w:rPr>
                <w:rFonts w:ascii="Arial" w:hAnsi="Arial" w:cs="Arial"/>
                <w:sz w:val="23"/>
              </w:rPr>
              <w:t>1981</w:t>
            </w:r>
          </w:p>
        </w:tc>
        <w:tc>
          <w:tcPr>
            <w:tcW w:w="2529" w:type="dxa"/>
            <w:vAlign w:val="bottom"/>
          </w:tcPr>
          <w:p w:rsidR="001C0D62" w:rsidRDefault="001C0D62">
            <w:pPr>
              <w:jc w:val="center"/>
              <w:rPr>
                <w:rFonts w:ascii="Arial" w:hAnsi="Arial" w:cs="Arial"/>
                <w:sz w:val="23"/>
                <w:szCs w:val="20"/>
              </w:rPr>
            </w:pPr>
            <w:r>
              <w:rPr>
                <w:rFonts w:ascii="Arial" w:hAnsi="Arial" w:cs="Arial"/>
                <w:sz w:val="23"/>
                <w:szCs w:val="20"/>
              </w:rPr>
              <w:t>1.90</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3"/>
              </w:rPr>
            </w:pPr>
            <w:r>
              <w:rPr>
                <w:rFonts w:ascii="Arial" w:hAnsi="Arial" w:cs="Arial"/>
                <w:sz w:val="23"/>
              </w:rPr>
              <w:t>1982</w:t>
            </w:r>
          </w:p>
        </w:tc>
        <w:tc>
          <w:tcPr>
            <w:tcW w:w="2529" w:type="dxa"/>
            <w:vAlign w:val="bottom"/>
          </w:tcPr>
          <w:p w:rsidR="001C0D62" w:rsidRDefault="001C0D62">
            <w:pPr>
              <w:jc w:val="center"/>
              <w:rPr>
                <w:rFonts w:ascii="Arial" w:hAnsi="Arial" w:cs="Arial"/>
                <w:sz w:val="23"/>
                <w:szCs w:val="20"/>
              </w:rPr>
            </w:pPr>
            <w:r>
              <w:rPr>
                <w:rFonts w:ascii="Arial" w:hAnsi="Arial" w:cs="Arial"/>
                <w:sz w:val="23"/>
                <w:szCs w:val="20"/>
              </w:rPr>
              <w:t>1.72</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3"/>
              </w:rPr>
            </w:pPr>
            <w:r>
              <w:rPr>
                <w:rFonts w:ascii="Arial" w:hAnsi="Arial" w:cs="Arial"/>
                <w:sz w:val="23"/>
              </w:rPr>
              <w:t>1983</w:t>
            </w:r>
          </w:p>
        </w:tc>
        <w:tc>
          <w:tcPr>
            <w:tcW w:w="2529" w:type="dxa"/>
            <w:vAlign w:val="bottom"/>
          </w:tcPr>
          <w:p w:rsidR="001C0D62" w:rsidRDefault="001C0D62">
            <w:pPr>
              <w:jc w:val="center"/>
              <w:rPr>
                <w:rFonts w:ascii="Arial" w:hAnsi="Arial" w:cs="Arial"/>
                <w:sz w:val="23"/>
                <w:szCs w:val="20"/>
              </w:rPr>
            </w:pPr>
            <w:r>
              <w:rPr>
                <w:rFonts w:ascii="Arial" w:hAnsi="Arial" w:cs="Arial"/>
                <w:sz w:val="23"/>
                <w:szCs w:val="20"/>
              </w:rPr>
              <w:t>1.52</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3"/>
              </w:rPr>
            </w:pPr>
            <w:r>
              <w:rPr>
                <w:rFonts w:ascii="Arial" w:hAnsi="Arial" w:cs="Arial"/>
                <w:sz w:val="23"/>
              </w:rPr>
              <w:t>1984</w:t>
            </w:r>
          </w:p>
        </w:tc>
        <w:tc>
          <w:tcPr>
            <w:tcW w:w="2529" w:type="dxa"/>
            <w:vAlign w:val="bottom"/>
          </w:tcPr>
          <w:p w:rsidR="001C0D62" w:rsidRDefault="001C0D62">
            <w:pPr>
              <w:jc w:val="center"/>
              <w:rPr>
                <w:rFonts w:ascii="Arial" w:hAnsi="Arial" w:cs="Arial"/>
                <w:sz w:val="23"/>
                <w:szCs w:val="20"/>
              </w:rPr>
            </w:pPr>
            <w:r>
              <w:rPr>
                <w:rFonts w:ascii="Arial" w:hAnsi="Arial" w:cs="Arial"/>
                <w:sz w:val="23"/>
                <w:szCs w:val="20"/>
              </w:rPr>
              <w:t>1.69</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3"/>
              </w:rPr>
            </w:pPr>
            <w:r>
              <w:rPr>
                <w:rFonts w:ascii="Arial" w:hAnsi="Arial" w:cs="Arial"/>
                <w:sz w:val="23"/>
              </w:rPr>
              <w:t>1985</w:t>
            </w:r>
          </w:p>
        </w:tc>
        <w:tc>
          <w:tcPr>
            <w:tcW w:w="2529" w:type="dxa"/>
            <w:vAlign w:val="bottom"/>
          </w:tcPr>
          <w:p w:rsidR="001C0D62" w:rsidRDefault="001C0D62">
            <w:pPr>
              <w:jc w:val="center"/>
              <w:rPr>
                <w:rFonts w:ascii="Arial" w:hAnsi="Arial" w:cs="Arial"/>
                <w:sz w:val="23"/>
                <w:szCs w:val="20"/>
              </w:rPr>
            </w:pPr>
            <w:r>
              <w:rPr>
                <w:rFonts w:ascii="Arial" w:hAnsi="Arial" w:cs="Arial"/>
                <w:sz w:val="23"/>
                <w:szCs w:val="20"/>
              </w:rPr>
              <w:t>1.70</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3"/>
              </w:rPr>
            </w:pPr>
            <w:r>
              <w:rPr>
                <w:rFonts w:ascii="Arial" w:hAnsi="Arial" w:cs="Arial"/>
                <w:sz w:val="23"/>
              </w:rPr>
              <w:t>1986</w:t>
            </w:r>
          </w:p>
        </w:tc>
        <w:tc>
          <w:tcPr>
            <w:tcW w:w="2529" w:type="dxa"/>
            <w:vAlign w:val="bottom"/>
          </w:tcPr>
          <w:p w:rsidR="001C0D62" w:rsidRDefault="001C0D62">
            <w:pPr>
              <w:jc w:val="center"/>
              <w:rPr>
                <w:rFonts w:ascii="Arial" w:hAnsi="Arial" w:cs="Arial"/>
                <w:sz w:val="23"/>
                <w:szCs w:val="20"/>
              </w:rPr>
            </w:pPr>
            <w:r>
              <w:rPr>
                <w:rFonts w:ascii="Arial" w:hAnsi="Arial" w:cs="Arial"/>
                <w:sz w:val="23"/>
                <w:szCs w:val="20"/>
              </w:rPr>
              <w:t>1.94</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3"/>
              </w:rPr>
            </w:pPr>
            <w:r>
              <w:rPr>
                <w:rFonts w:ascii="Arial" w:hAnsi="Arial" w:cs="Arial"/>
                <w:sz w:val="23"/>
              </w:rPr>
              <w:t>1987</w:t>
            </w:r>
          </w:p>
        </w:tc>
        <w:tc>
          <w:tcPr>
            <w:tcW w:w="2529" w:type="dxa"/>
            <w:vAlign w:val="bottom"/>
          </w:tcPr>
          <w:p w:rsidR="001C0D62" w:rsidRDefault="001C0D62">
            <w:pPr>
              <w:jc w:val="center"/>
              <w:rPr>
                <w:rFonts w:ascii="Arial" w:hAnsi="Arial" w:cs="Arial"/>
                <w:sz w:val="23"/>
                <w:szCs w:val="20"/>
              </w:rPr>
            </w:pPr>
            <w:r>
              <w:rPr>
                <w:rFonts w:ascii="Arial" w:hAnsi="Arial" w:cs="Arial"/>
                <w:sz w:val="23"/>
                <w:szCs w:val="20"/>
              </w:rPr>
              <w:t>1.79</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3"/>
              </w:rPr>
            </w:pPr>
            <w:r>
              <w:rPr>
                <w:rFonts w:ascii="Arial" w:hAnsi="Arial" w:cs="Arial"/>
                <w:sz w:val="23"/>
              </w:rPr>
              <w:t>1988</w:t>
            </w:r>
          </w:p>
        </w:tc>
        <w:tc>
          <w:tcPr>
            <w:tcW w:w="2529" w:type="dxa"/>
            <w:vAlign w:val="bottom"/>
          </w:tcPr>
          <w:p w:rsidR="001C0D62" w:rsidRDefault="001C0D62">
            <w:pPr>
              <w:jc w:val="center"/>
              <w:rPr>
                <w:rFonts w:ascii="Arial" w:hAnsi="Arial" w:cs="Arial"/>
                <w:sz w:val="23"/>
                <w:szCs w:val="20"/>
              </w:rPr>
            </w:pPr>
            <w:r>
              <w:rPr>
                <w:rFonts w:ascii="Arial" w:hAnsi="Arial" w:cs="Arial"/>
                <w:sz w:val="23"/>
                <w:szCs w:val="20"/>
              </w:rPr>
              <w:t>1.74</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3"/>
              </w:rPr>
            </w:pPr>
            <w:r>
              <w:rPr>
                <w:rFonts w:ascii="Arial" w:hAnsi="Arial" w:cs="Arial"/>
                <w:sz w:val="23"/>
              </w:rPr>
              <w:t>1989</w:t>
            </w:r>
          </w:p>
        </w:tc>
        <w:tc>
          <w:tcPr>
            <w:tcW w:w="2529" w:type="dxa"/>
            <w:vAlign w:val="bottom"/>
          </w:tcPr>
          <w:p w:rsidR="001C0D62" w:rsidRDefault="001C0D62">
            <w:pPr>
              <w:jc w:val="center"/>
              <w:rPr>
                <w:rFonts w:ascii="Arial" w:hAnsi="Arial" w:cs="Arial"/>
                <w:sz w:val="23"/>
                <w:szCs w:val="20"/>
              </w:rPr>
            </w:pPr>
            <w:r>
              <w:rPr>
                <w:rFonts w:ascii="Arial" w:hAnsi="Arial" w:cs="Arial"/>
                <w:sz w:val="23"/>
                <w:szCs w:val="20"/>
              </w:rPr>
              <w:t>1.67</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3"/>
              </w:rPr>
            </w:pPr>
            <w:r>
              <w:rPr>
                <w:rFonts w:ascii="Arial" w:hAnsi="Arial" w:cs="Arial"/>
                <w:sz w:val="23"/>
              </w:rPr>
              <w:t>1990</w:t>
            </w:r>
          </w:p>
        </w:tc>
        <w:tc>
          <w:tcPr>
            <w:tcW w:w="2529" w:type="dxa"/>
            <w:vAlign w:val="bottom"/>
          </w:tcPr>
          <w:p w:rsidR="001C0D62" w:rsidRDefault="001C0D62">
            <w:pPr>
              <w:jc w:val="center"/>
              <w:rPr>
                <w:rFonts w:ascii="Arial" w:hAnsi="Arial" w:cs="Arial"/>
                <w:sz w:val="23"/>
                <w:szCs w:val="20"/>
              </w:rPr>
            </w:pPr>
            <w:r>
              <w:rPr>
                <w:rFonts w:ascii="Arial" w:hAnsi="Arial" w:cs="Arial"/>
                <w:sz w:val="23"/>
                <w:szCs w:val="20"/>
              </w:rPr>
              <w:t>1.26</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3"/>
              </w:rPr>
            </w:pPr>
            <w:r>
              <w:rPr>
                <w:rFonts w:ascii="Arial" w:hAnsi="Arial" w:cs="Arial"/>
                <w:sz w:val="23"/>
              </w:rPr>
              <w:t>1991</w:t>
            </w:r>
          </w:p>
        </w:tc>
        <w:tc>
          <w:tcPr>
            <w:tcW w:w="2529" w:type="dxa"/>
            <w:vAlign w:val="bottom"/>
          </w:tcPr>
          <w:p w:rsidR="001C0D62" w:rsidRDefault="001C0D62">
            <w:pPr>
              <w:jc w:val="center"/>
              <w:rPr>
                <w:rFonts w:ascii="Arial" w:hAnsi="Arial" w:cs="Arial"/>
                <w:sz w:val="23"/>
                <w:szCs w:val="20"/>
              </w:rPr>
            </w:pPr>
            <w:r>
              <w:rPr>
                <w:rFonts w:ascii="Arial" w:hAnsi="Arial" w:cs="Arial"/>
                <w:sz w:val="23"/>
                <w:szCs w:val="20"/>
              </w:rPr>
              <w:t>1.67</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3"/>
              </w:rPr>
            </w:pPr>
            <w:r>
              <w:rPr>
                <w:rFonts w:ascii="Arial" w:hAnsi="Arial" w:cs="Arial"/>
                <w:sz w:val="23"/>
              </w:rPr>
              <w:t>1992</w:t>
            </w:r>
          </w:p>
        </w:tc>
        <w:tc>
          <w:tcPr>
            <w:tcW w:w="2529" w:type="dxa"/>
            <w:vAlign w:val="bottom"/>
          </w:tcPr>
          <w:p w:rsidR="001C0D62" w:rsidRDefault="001C0D62">
            <w:pPr>
              <w:jc w:val="center"/>
              <w:rPr>
                <w:rFonts w:ascii="Arial" w:hAnsi="Arial" w:cs="Arial"/>
                <w:sz w:val="23"/>
                <w:szCs w:val="20"/>
              </w:rPr>
            </w:pPr>
            <w:r>
              <w:rPr>
                <w:rFonts w:ascii="Arial" w:hAnsi="Arial" w:cs="Arial"/>
                <w:sz w:val="23"/>
                <w:szCs w:val="20"/>
              </w:rPr>
              <w:t>1.56</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3"/>
              </w:rPr>
            </w:pPr>
            <w:r>
              <w:rPr>
                <w:rFonts w:ascii="Arial" w:hAnsi="Arial" w:cs="Arial"/>
                <w:sz w:val="23"/>
              </w:rPr>
              <w:t>1993</w:t>
            </w:r>
          </w:p>
        </w:tc>
        <w:tc>
          <w:tcPr>
            <w:tcW w:w="2529" w:type="dxa"/>
            <w:vAlign w:val="bottom"/>
          </w:tcPr>
          <w:p w:rsidR="001C0D62" w:rsidRDefault="001C0D62">
            <w:pPr>
              <w:jc w:val="center"/>
              <w:rPr>
                <w:rFonts w:ascii="Arial" w:hAnsi="Arial" w:cs="Arial"/>
                <w:sz w:val="23"/>
                <w:szCs w:val="20"/>
              </w:rPr>
            </w:pPr>
            <w:r>
              <w:rPr>
                <w:rFonts w:ascii="Arial" w:hAnsi="Arial" w:cs="Arial"/>
                <w:sz w:val="23"/>
                <w:szCs w:val="20"/>
              </w:rPr>
              <w:t>1.77</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3"/>
              </w:rPr>
            </w:pPr>
            <w:r>
              <w:rPr>
                <w:rFonts w:ascii="Arial" w:hAnsi="Arial" w:cs="Arial"/>
                <w:sz w:val="23"/>
              </w:rPr>
              <w:t>1994</w:t>
            </w:r>
          </w:p>
        </w:tc>
        <w:tc>
          <w:tcPr>
            <w:tcW w:w="2529" w:type="dxa"/>
            <w:vAlign w:val="bottom"/>
          </w:tcPr>
          <w:p w:rsidR="001C0D62" w:rsidRDefault="001C0D62">
            <w:pPr>
              <w:jc w:val="center"/>
              <w:rPr>
                <w:rFonts w:ascii="Arial" w:hAnsi="Arial" w:cs="Arial"/>
                <w:sz w:val="23"/>
                <w:szCs w:val="20"/>
              </w:rPr>
            </w:pPr>
            <w:r>
              <w:rPr>
                <w:rFonts w:ascii="Arial" w:hAnsi="Arial" w:cs="Arial"/>
                <w:sz w:val="23"/>
                <w:szCs w:val="20"/>
              </w:rPr>
              <w:t>1.83</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3"/>
              </w:rPr>
            </w:pPr>
            <w:r>
              <w:rPr>
                <w:rFonts w:ascii="Arial" w:hAnsi="Arial" w:cs="Arial"/>
                <w:sz w:val="23"/>
              </w:rPr>
              <w:t>1995</w:t>
            </w:r>
          </w:p>
        </w:tc>
        <w:tc>
          <w:tcPr>
            <w:tcW w:w="2529" w:type="dxa"/>
            <w:vAlign w:val="bottom"/>
          </w:tcPr>
          <w:p w:rsidR="001C0D62" w:rsidRDefault="001C0D62">
            <w:pPr>
              <w:jc w:val="center"/>
              <w:rPr>
                <w:rFonts w:ascii="Arial" w:hAnsi="Arial" w:cs="Arial"/>
                <w:sz w:val="23"/>
                <w:szCs w:val="20"/>
              </w:rPr>
            </w:pPr>
            <w:r>
              <w:rPr>
                <w:rFonts w:ascii="Arial" w:hAnsi="Arial" w:cs="Arial"/>
                <w:sz w:val="23"/>
                <w:szCs w:val="20"/>
              </w:rPr>
              <w:t>1.56</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3"/>
              </w:rPr>
            </w:pPr>
            <w:r>
              <w:rPr>
                <w:rFonts w:ascii="Arial" w:hAnsi="Arial" w:cs="Arial"/>
                <w:sz w:val="23"/>
              </w:rPr>
              <w:t>1996</w:t>
            </w:r>
          </w:p>
        </w:tc>
        <w:tc>
          <w:tcPr>
            <w:tcW w:w="2529" w:type="dxa"/>
            <w:vAlign w:val="bottom"/>
          </w:tcPr>
          <w:p w:rsidR="001C0D62" w:rsidRDefault="001C0D62">
            <w:pPr>
              <w:jc w:val="center"/>
              <w:rPr>
                <w:rFonts w:ascii="Arial" w:hAnsi="Arial" w:cs="Arial"/>
                <w:sz w:val="23"/>
                <w:szCs w:val="20"/>
              </w:rPr>
            </w:pPr>
            <w:r>
              <w:rPr>
                <w:rFonts w:ascii="Arial" w:hAnsi="Arial" w:cs="Arial"/>
                <w:sz w:val="23"/>
                <w:szCs w:val="20"/>
              </w:rPr>
              <w:t>1.62</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3"/>
              </w:rPr>
            </w:pPr>
            <w:r>
              <w:rPr>
                <w:rFonts w:ascii="Arial" w:hAnsi="Arial" w:cs="Arial"/>
                <w:sz w:val="23"/>
              </w:rPr>
              <w:t>1997</w:t>
            </w:r>
          </w:p>
        </w:tc>
        <w:tc>
          <w:tcPr>
            <w:tcW w:w="2529" w:type="dxa"/>
            <w:vAlign w:val="bottom"/>
          </w:tcPr>
          <w:p w:rsidR="001C0D62" w:rsidRDefault="001C0D62">
            <w:pPr>
              <w:jc w:val="center"/>
              <w:rPr>
                <w:rFonts w:ascii="Arial" w:hAnsi="Arial" w:cs="Arial"/>
                <w:sz w:val="23"/>
                <w:szCs w:val="20"/>
              </w:rPr>
            </w:pPr>
            <w:r>
              <w:rPr>
                <w:rFonts w:ascii="Arial" w:hAnsi="Arial" w:cs="Arial"/>
                <w:sz w:val="23"/>
                <w:szCs w:val="20"/>
              </w:rPr>
              <w:t>2.17</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3"/>
              </w:rPr>
            </w:pPr>
            <w:r>
              <w:rPr>
                <w:rFonts w:ascii="Arial" w:hAnsi="Arial" w:cs="Arial"/>
                <w:sz w:val="23"/>
              </w:rPr>
              <w:t>1998</w:t>
            </w:r>
          </w:p>
        </w:tc>
        <w:tc>
          <w:tcPr>
            <w:tcW w:w="2529" w:type="dxa"/>
            <w:vAlign w:val="bottom"/>
          </w:tcPr>
          <w:p w:rsidR="001C0D62" w:rsidRDefault="001C0D62">
            <w:pPr>
              <w:jc w:val="center"/>
              <w:rPr>
                <w:rFonts w:ascii="Arial" w:hAnsi="Arial" w:cs="Arial"/>
                <w:sz w:val="23"/>
                <w:szCs w:val="20"/>
              </w:rPr>
            </w:pPr>
            <w:r>
              <w:rPr>
                <w:rFonts w:ascii="Arial" w:hAnsi="Arial" w:cs="Arial"/>
                <w:sz w:val="23"/>
                <w:szCs w:val="20"/>
              </w:rPr>
              <w:t>1.71</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3"/>
              </w:rPr>
            </w:pPr>
            <w:r>
              <w:rPr>
                <w:rFonts w:ascii="Arial" w:hAnsi="Arial" w:cs="Arial"/>
                <w:sz w:val="23"/>
              </w:rPr>
              <w:t>1999</w:t>
            </w:r>
          </w:p>
        </w:tc>
        <w:tc>
          <w:tcPr>
            <w:tcW w:w="2529" w:type="dxa"/>
            <w:vAlign w:val="bottom"/>
          </w:tcPr>
          <w:p w:rsidR="001C0D62" w:rsidRDefault="001C0D62">
            <w:pPr>
              <w:jc w:val="center"/>
              <w:rPr>
                <w:rFonts w:ascii="Arial" w:hAnsi="Arial" w:cs="Arial"/>
                <w:sz w:val="23"/>
                <w:szCs w:val="20"/>
              </w:rPr>
            </w:pPr>
            <w:r>
              <w:rPr>
                <w:rFonts w:ascii="Arial" w:hAnsi="Arial" w:cs="Arial"/>
                <w:sz w:val="23"/>
                <w:szCs w:val="20"/>
              </w:rPr>
              <w:t>1.85</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3"/>
              </w:rPr>
            </w:pPr>
            <w:r>
              <w:rPr>
                <w:rFonts w:ascii="Arial" w:hAnsi="Arial" w:cs="Arial"/>
                <w:sz w:val="23"/>
              </w:rPr>
              <w:t>2000</w:t>
            </w:r>
          </w:p>
        </w:tc>
        <w:tc>
          <w:tcPr>
            <w:tcW w:w="2529" w:type="dxa"/>
            <w:vAlign w:val="bottom"/>
          </w:tcPr>
          <w:p w:rsidR="001C0D62" w:rsidRDefault="001C0D62">
            <w:pPr>
              <w:jc w:val="center"/>
              <w:rPr>
                <w:rFonts w:ascii="Arial" w:hAnsi="Arial" w:cs="Arial"/>
                <w:sz w:val="23"/>
                <w:szCs w:val="20"/>
              </w:rPr>
            </w:pPr>
            <w:r>
              <w:rPr>
                <w:rFonts w:ascii="Arial" w:hAnsi="Arial" w:cs="Arial"/>
                <w:sz w:val="23"/>
                <w:szCs w:val="20"/>
              </w:rPr>
              <w:t>1.33</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3"/>
              </w:rPr>
            </w:pPr>
            <w:r>
              <w:rPr>
                <w:rFonts w:ascii="Arial" w:hAnsi="Arial" w:cs="Arial"/>
                <w:sz w:val="23"/>
              </w:rPr>
              <w:t>2001</w:t>
            </w:r>
          </w:p>
        </w:tc>
        <w:tc>
          <w:tcPr>
            <w:tcW w:w="2529" w:type="dxa"/>
            <w:vAlign w:val="bottom"/>
          </w:tcPr>
          <w:p w:rsidR="001C0D62" w:rsidRDefault="001C0D62">
            <w:pPr>
              <w:jc w:val="center"/>
              <w:rPr>
                <w:rFonts w:ascii="Arial" w:hAnsi="Arial" w:cs="Arial"/>
                <w:sz w:val="23"/>
                <w:szCs w:val="20"/>
              </w:rPr>
            </w:pPr>
            <w:r>
              <w:rPr>
                <w:rFonts w:ascii="Arial" w:hAnsi="Arial" w:cs="Arial"/>
                <w:sz w:val="23"/>
                <w:szCs w:val="20"/>
              </w:rPr>
              <w:t>1.66</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3"/>
              </w:rPr>
            </w:pPr>
            <w:r>
              <w:rPr>
                <w:rFonts w:ascii="Arial" w:hAnsi="Arial" w:cs="Arial"/>
                <w:sz w:val="23"/>
              </w:rPr>
              <w:t>2002</w:t>
            </w:r>
          </w:p>
        </w:tc>
        <w:tc>
          <w:tcPr>
            <w:tcW w:w="2529" w:type="dxa"/>
            <w:vAlign w:val="bottom"/>
          </w:tcPr>
          <w:p w:rsidR="001C0D62" w:rsidRDefault="001C0D62">
            <w:pPr>
              <w:jc w:val="center"/>
              <w:rPr>
                <w:rFonts w:ascii="Arial" w:hAnsi="Arial" w:cs="Arial"/>
                <w:sz w:val="23"/>
                <w:szCs w:val="20"/>
              </w:rPr>
            </w:pPr>
            <w:r>
              <w:rPr>
                <w:rFonts w:ascii="Arial" w:hAnsi="Arial" w:cs="Arial"/>
                <w:sz w:val="23"/>
                <w:szCs w:val="20"/>
              </w:rPr>
              <w:t>1.72</w:t>
            </w:r>
          </w:p>
        </w:tc>
      </w:tr>
      <w:tr w:rsidR="001C0D62">
        <w:tblPrEx>
          <w:tblCellMar>
            <w:top w:w="0" w:type="dxa"/>
            <w:bottom w:w="0" w:type="dxa"/>
          </w:tblCellMar>
        </w:tblPrEx>
        <w:trPr>
          <w:cantSplit/>
          <w:jc w:val="center"/>
        </w:trPr>
        <w:tc>
          <w:tcPr>
            <w:tcW w:w="1188" w:type="dxa"/>
          </w:tcPr>
          <w:p w:rsidR="001C0D62" w:rsidRDefault="001C0D62">
            <w:pPr>
              <w:jc w:val="center"/>
              <w:rPr>
                <w:rFonts w:ascii="Arial" w:hAnsi="Arial" w:cs="Arial"/>
                <w:sz w:val="23"/>
              </w:rPr>
            </w:pPr>
            <w:r>
              <w:rPr>
                <w:rFonts w:ascii="Arial" w:hAnsi="Arial" w:cs="Arial"/>
                <w:sz w:val="23"/>
              </w:rPr>
              <w:t>2003</w:t>
            </w:r>
          </w:p>
        </w:tc>
        <w:tc>
          <w:tcPr>
            <w:tcW w:w="2529" w:type="dxa"/>
            <w:vAlign w:val="bottom"/>
          </w:tcPr>
          <w:p w:rsidR="001C0D62" w:rsidRDefault="001C0D62">
            <w:pPr>
              <w:jc w:val="center"/>
              <w:rPr>
                <w:rFonts w:ascii="Arial" w:hAnsi="Arial" w:cs="Arial"/>
                <w:sz w:val="23"/>
                <w:szCs w:val="20"/>
              </w:rPr>
            </w:pPr>
            <w:r>
              <w:rPr>
                <w:rFonts w:ascii="Arial" w:hAnsi="Arial" w:cs="Arial"/>
                <w:sz w:val="23"/>
                <w:szCs w:val="20"/>
              </w:rPr>
              <w:t>1.69</w:t>
            </w:r>
          </w:p>
        </w:tc>
      </w:tr>
    </w:tbl>
    <w:p w:rsidR="001C0D62" w:rsidRDefault="001C0D62">
      <w:pPr>
        <w:pStyle w:val="Footer"/>
        <w:tabs>
          <w:tab w:val="clear" w:pos="4320"/>
          <w:tab w:val="clear" w:pos="8640"/>
        </w:tabs>
        <w:rPr>
          <w:rFonts w:ascii="Arial" w:hAnsi="Arial" w:cs="Arial"/>
          <w:u w:val="single"/>
        </w:rPr>
      </w:pPr>
    </w:p>
    <w:p w:rsidR="001C0D62" w:rsidRDefault="001C0D62">
      <w:pPr>
        <w:pStyle w:val="Footer"/>
        <w:tabs>
          <w:tab w:val="clear" w:pos="4320"/>
          <w:tab w:val="clear" w:pos="8640"/>
        </w:tabs>
        <w:rPr>
          <w:rFonts w:ascii="Arial" w:hAnsi="Arial" w:cs="Arial"/>
          <w:bCs/>
          <w:u w:val="single"/>
        </w:rPr>
      </w:pPr>
      <w:r>
        <w:rPr>
          <w:rFonts w:ascii="Arial" w:hAnsi="Arial" w:cs="Arial"/>
          <w:u w:val="single"/>
        </w:rPr>
        <w:t>Table 4: Savernake data</w:t>
      </w:r>
    </w:p>
    <w:p w:rsidR="001C0D62" w:rsidRDefault="001C0D62">
      <w:pPr>
        <w:pStyle w:val="Footer"/>
        <w:tabs>
          <w:tab w:val="clear" w:pos="4320"/>
          <w:tab w:val="clear" w:pos="8640"/>
        </w:tabs>
        <w:jc w:val="center"/>
        <w:rPr>
          <w:rFonts w:ascii="Arial" w:hAnsi="Arial" w:cs="Arial"/>
          <w:b/>
          <w:bCs/>
          <w:sz w:val="32"/>
          <w:u w:val="single"/>
        </w:rPr>
      </w:pPr>
    </w:p>
    <w:p w:rsidR="001C0D62" w:rsidRDefault="001C0D62">
      <w:pPr>
        <w:pStyle w:val="Footer"/>
        <w:tabs>
          <w:tab w:val="clear" w:pos="4320"/>
          <w:tab w:val="clear" w:pos="8640"/>
        </w:tabs>
        <w:rPr>
          <w:rFonts w:ascii="Arial" w:hAnsi="Arial" w:cs="Arial"/>
        </w:rPr>
      </w:pPr>
      <w:r>
        <w:rPr>
          <w:rFonts w:ascii="Arial" w:hAnsi="Arial" w:cs="Arial"/>
        </w:rPr>
        <w:t>The table shows the average annual ring widths of Oak tree core samples from Savernake, near Swindon between 1972 and 2006 (NCDC, 2013).</w:t>
      </w:r>
    </w:p>
    <w:p w:rsidR="001C0D62" w:rsidRDefault="001C0D62">
      <w:pPr>
        <w:pStyle w:val="Footer"/>
        <w:tabs>
          <w:tab w:val="clear" w:pos="4320"/>
          <w:tab w:val="clear" w:pos="8640"/>
        </w:tabs>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28"/>
        <w:gridCol w:w="2160"/>
      </w:tblGrid>
      <w:tr w:rsidR="001C0D62">
        <w:tblPrEx>
          <w:tblCellMar>
            <w:top w:w="0" w:type="dxa"/>
            <w:bottom w:w="0" w:type="dxa"/>
          </w:tblCellMar>
        </w:tblPrEx>
        <w:trPr>
          <w:jc w:val="center"/>
        </w:trPr>
        <w:tc>
          <w:tcPr>
            <w:tcW w:w="1728" w:type="dxa"/>
          </w:tcPr>
          <w:p w:rsidR="001C0D62" w:rsidRDefault="001C0D62">
            <w:pPr>
              <w:pStyle w:val="Footer"/>
              <w:tabs>
                <w:tab w:val="clear" w:pos="4320"/>
                <w:tab w:val="clear" w:pos="8640"/>
              </w:tabs>
              <w:jc w:val="center"/>
              <w:rPr>
                <w:rFonts w:ascii="Arial" w:hAnsi="Arial" w:cs="Arial"/>
                <w:b/>
                <w:bCs/>
                <w:sz w:val="22"/>
              </w:rPr>
            </w:pPr>
            <w:r>
              <w:rPr>
                <w:rFonts w:ascii="Arial" w:hAnsi="Arial" w:cs="Arial"/>
                <w:b/>
                <w:bCs/>
                <w:sz w:val="22"/>
              </w:rPr>
              <w:t>Year</w:t>
            </w:r>
          </w:p>
        </w:tc>
        <w:tc>
          <w:tcPr>
            <w:tcW w:w="2160" w:type="dxa"/>
          </w:tcPr>
          <w:p w:rsidR="001C0D62" w:rsidRDefault="001C0D62">
            <w:pPr>
              <w:pStyle w:val="Footer"/>
              <w:tabs>
                <w:tab w:val="clear" w:pos="4320"/>
                <w:tab w:val="clear" w:pos="8640"/>
              </w:tabs>
              <w:jc w:val="center"/>
              <w:rPr>
                <w:rFonts w:ascii="Arial" w:hAnsi="Arial" w:cs="Arial"/>
              </w:rPr>
            </w:pPr>
            <w:r>
              <w:rPr>
                <w:rFonts w:ascii="Arial" w:hAnsi="Arial" w:cs="Arial"/>
                <w:b/>
                <w:bCs/>
                <w:sz w:val="22"/>
              </w:rPr>
              <w:t>Savernake Oak ring widths (mm)</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 xml:space="preserve"> 1972</w:t>
            </w:r>
          </w:p>
        </w:tc>
        <w:tc>
          <w:tcPr>
            <w:tcW w:w="2160" w:type="dxa"/>
          </w:tcPr>
          <w:p w:rsidR="001C0D62" w:rsidRDefault="001C0D62">
            <w:pPr>
              <w:pStyle w:val="Footer"/>
              <w:tabs>
                <w:tab w:val="clear" w:pos="4320"/>
                <w:tab w:val="clear" w:pos="8640"/>
              </w:tabs>
              <w:jc w:val="center"/>
              <w:rPr>
                <w:rFonts w:ascii="Arial" w:hAnsi="Arial" w:cs="Arial"/>
              </w:rPr>
            </w:pPr>
            <w:r>
              <w:rPr>
                <w:rFonts w:ascii="Arial" w:hAnsi="Arial" w:cs="Arial"/>
              </w:rPr>
              <w:t>1.48</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1973</w:t>
            </w:r>
          </w:p>
        </w:tc>
        <w:tc>
          <w:tcPr>
            <w:tcW w:w="2160" w:type="dxa"/>
          </w:tcPr>
          <w:p w:rsidR="001C0D62" w:rsidRDefault="001C0D62">
            <w:pPr>
              <w:pStyle w:val="Footer"/>
              <w:tabs>
                <w:tab w:val="clear" w:pos="4320"/>
                <w:tab w:val="clear" w:pos="8640"/>
              </w:tabs>
              <w:jc w:val="center"/>
              <w:rPr>
                <w:rFonts w:ascii="Arial" w:hAnsi="Arial" w:cs="Arial"/>
              </w:rPr>
            </w:pPr>
            <w:r>
              <w:rPr>
                <w:rFonts w:ascii="Arial" w:hAnsi="Arial" w:cs="Arial"/>
              </w:rPr>
              <w:t>1.84</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1974</w:t>
            </w:r>
          </w:p>
        </w:tc>
        <w:tc>
          <w:tcPr>
            <w:tcW w:w="2160" w:type="dxa"/>
          </w:tcPr>
          <w:p w:rsidR="001C0D62" w:rsidRDefault="001C0D62">
            <w:pPr>
              <w:pStyle w:val="Footer"/>
              <w:tabs>
                <w:tab w:val="clear" w:pos="4320"/>
                <w:tab w:val="clear" w:pos="8640"/>
              </w:tabs>
              <w:jc w:val="center"/>
              <w:rPr>
                <w:rFonts w:ascii="Arial" w:hAnsi="Arial" w:cs="Arial"/>
              </w:rPr>
            </w:pPr>
            <w:r>
              <w:rPr>
                <w:rFonts w:ascii="Arial" w:hAnsi="Arial" w:cs="Arial"/>
              </w:rPr>
              <w:t>1.56</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1975</w:t>
            </w:r>
          </w:p>
        </w:tc>
        <w:tc>
          <w:tcPr>
            <w:tcW w:w="2160" w:type="dxa"/>
          </w:tcPr>
          <w:p w:rsidR="001C0D62" w:rsidRDefault="001C0D62">
            <w:pPr>
              <w:pStyle w:val="Footer"/>
              <w:tabs>
                <w:tab w:val="clear" w:pos="4320"/>
                <w:tab w:val="clear" w:pos="8640"/>
              </w:tabs>
              <w:jc w:val="center"/>
              <w:rPr>
                <w:rFonts w:ascii="Arial" w:hAnsi="Arial" w:cs="Arial"/>
              </w:rPr>
            </w:pPr>
            <w:r>
              <w:rPr>
                <w:rFonts w:ascii="Arial" w:hAnsi="Arial" w:cs="Arial"/>
              </w:rPr>
              <w:t>1.53</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1976</w:t>
            </w:r>
          </w:p>
        </w:tc>
        <w:tc>
          <w:tcPr>
            <w:tcW w:w="2160" w:type="dxa"/>
          </w:tcPr>
          <w:p w:rsidR="001C0D62" w:rsidRDefault="001C0D62">
            <w:pPr>
              <w:pStyle w:val="Footer"/>
              <w:tabs>
                <w:tab w:val="clear" w:pos="4320"/>
                <w:tab w:val="clear" w:pos="8640"/>
              </w:tabs>
              <w:jc w:val="center"/>
              <w:rPr>
                <w:rFonts w:ascii="Arial" w:hAnsi="Arial" w:cs="Arial"/>
              </w:rPr>
            </w:pPr>
            <w:r>
              <w:rPr>
                <w:rFonts w:ascii="Arial" w:hAnsi="Arial" w:cs="Arial"/>
              </w:rPr>
              <w:t>0.87</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1977</w:t>
            </w:r>
          </w:p>
        </w:tc>
        <w:tc>
          <w:tcPr>
            <w:tcW w:w="2160" w:type="dxa"/>
          </w:tcPr>
          <w:p w:rsidR="001C0D62" w:rsidRDefault="001C0D62">
            <w:pPr>
              <w:pStyle w:val="Footer"/>
              <w:tabs>
                <w:tab w:val="clear" w:pos="4320"/>
                <w:tab w:val="clear" w:pos="8640"/>
              </w:tabs>
              <w:jc w:val="center"/>
              <w:rPr>
                <w:rFonts w:ascii="Arial" w:hAnsi="Arial" w:cs="Arial"/>
              </w:rPr>
            </w:pPr>
            <w:r>
              <w:rPr>
                <w:rFonts w:ascii="Arial" w:hAnsi="Arial" w:cs="Arial"/>
              </w:rPr>
              <w:t>1.30</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1978</w:t>
            </w:r>
          </w:p>
        </w:tc>
        <w:tc>
          <w:tcPr>
            <w:tcW w:w="2160" w:type="dxa"/>
          </w:tcPr>
          <w:p w:rsidR="001C0D62" w:rsidRDefault="001C0D62">
            <w:pPr>
              <w:pStyle w:val="Footer"/>
              <w:tabs>
                <w:tab w:val="clear" w:pos="4320"/>
                <w:tab w:val="clear" w:pos="8640"/>
              </w:tabs>
              <w:jc w:val="center"/>
              <w:rPr>
                <w:rFonts w:ascii="Arial" w:hAnsi="Arial" w:cs="Arial"/>
              </w:rPr>
            </w:pPr>
            <w:r>
              <w:rPr>
                <w:rFonts w:ascii="Arial" w:hAnsi="Arial" w:cs="Arial"/>
              </w:rPr>
              <w:t>1.73</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1979</w:t>
            </w:r>
          </w:p>
        </w:tc>
        <w:tc>
          <w:tcPr>
            <w:tcW w:w="2160" w:type="dxa"/>
          </w:tcPr>
          <w:p w:rsidR="001C0D62" w:rsidRDefault="001C0D62">
            <w:pPr>
              <w:pStyle w:val="Footer"/>
              <w:tabs>
                <w:tab w:val="clear" w:pos="4320"/>
                <w:tab w:val="clear" w:pos="8640"/>
              </w:tabs>
              <w:jc w:val="center"/>
              <w:rPr>
                <w:rFonts w:ascii="Arial" w:hAnsi="Arial" w:cs="Arial"/>
              </w:rPr>
            </w:pPr>
            <w:r>
              <w:rPr>
                <w:rFonts w:ascii="Arial" w:hAnsi="Arial" w:cs="Arial"/>
              </w:rPr>
              <w:t>1.66</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1980</w:t>
            </w:r>
          </w:p>
        </w:tc>
        <w:tc>
          <w:tcPr>
            <w:tcW w:w="2160" w:type="dxa"/>
          </w:tcPr>
          <w:p w:rsidR="001C0D62" w:rsidRDefault="001C0D62">
            <w:pPr>
              <w:pStyle w:val="Footer"/>
              <w:tabs>
                <w:tab w:val="clear" w:pos="4320"/>
                <w:tab w:val="clear" w:pos="8640"/>
              </w:tabs>
              <w:jc w:val="center"/>
              <w:rPr>
                <w:rFonts w:ascii="Arial" w:hAnsi="Arial" w:cs="Arial"/>
              </w:rPr>
            </w:pPr>
            <w:r>
              <w:rPr>
                <w:rFonts w:ascii="Arial" w:hAnsi="Arial" w:cs="Arial"/>
              </w:rPr>
              <w:t>1.76</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1981</w:t>
            </w:r>
          </w:p>
        </w:tc>
        <w:tc>
          <w:tcPr>
            <w:tcW w:w="2160" w:type="dxa"/>
          </w:tcPr>
          <w:p w:rsidR="001C0D62" w:rsidRDefault="001C0D62">
            <w:pPr>
              <w:pStyle w:val="Footer"/>
              <w:tabs>
                <w:tab w:val="clear" w:pos="4320"/>
                <w:tab w:val="clear" w:pos="8640"/>
              </w:tabs>
              <w:jc w:val="center"/>
              <w:rPr>
                <w:rFonts w:ascii="Arial" w:hAnsi="Arial" w:cs="Arial"/>
              </w:rPr>
            </w:pPr>
            <w:r>
              <w:rPr>
                <w:rFonts w:ascii="Arial" w:hAnsi="Arial" w:cs="Arial"/>
              </w:rPr>
              <w:t>1.57</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1982</w:t>
            </w:r>
          </w:p>
        </w:tc>
        <w:tc>
          <w:tcPr>
            <w:tcW w:w="2160" w:type="dxa"/>
          </w:tcPr>
          <w:p w:rsidR="001C0D62" w:rsidRDefault="001C0D62">
            <w:pPr>
              <w:pStyle w:val="Footer"/>
              <w:tabs>
                <w:tab w:val="clear" w:pos="4320"/>
                <w:tab w:val="clear" w:pos="8640"/>
              </w:tabs>
              <w:jc w:val="center"/>
              <w:rPr>
                <w:rFonts w:ascii="Arial" w:hAnsi="Arial" w:cs="Arial"/>
              </w:rPr>
            </w:pPr>
            <w:r>
              <w:rPr>
                <w:rFonts w:ascii="Arial" w:hAnsi="Arial" w:cs="Arial"/>
              </w:rPr>
              <w:t>1.80</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1983</w:t>
            </w:r>
          </w:p>
        </w:tc>
        <w:tc>
          <w:tcPr>
            <w:tcW w:w="2160" w:type="dxa"/>
          </w:tcPr>
          <w:p w:rsidR="001C0D62" w:rsidRDefault="001C0D62">
            <w:pPr>
              <w:pStyle w:val="Footer"/>
              <w:tabs>
                <w:tab w:val="clear" w:pos="4320"/>
                <w:tab w:val="clear" w:pos="8640"/>
              </w:tabs>
              <w:jc w:val="center"/>
              <w:rPr>
                <w:rFonts w:ascii="Arial" w:hAnsi="Arial" w:cs="Arial"/>
              </w:rPr>
            </w:pPr>
            <w:r>
              <w:rPr>
                <w:rFonts w:ascii="Arial" w:hAnsi="Arial" w:cs="Arial"/>
              </w:rPr>
              <w:t>1.55</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1984</w:t>
            </w:r>
          </w:p>
        </w:tc>
        <w:tc>
          <w:tcPr>
            <w:tcW w:w="2160" w:type="dxa"/>
          </w:tcPr>
          <w:p w:rsidR="001C0D62" w:rsidRDefault="001C0D62">
            <w:pPr>
              <w:pStyle w:val="Footer"/>
              <w:tabs>
                <w:tab w:val="clear" w:pos="4320"/>
                <w:tab w:val="clear" w:pos="8640"/>
              </w:tabs>
              <w:jc w:val="center"/>
              <w:rPr>
                <w:rFonts w:ascii="Arial" w:hAnsi="Arial" w:cs="Arial"/>
              </w:rPr>
            </w:pPr>
            <w:r>
              <w:rPr>
                <w:rFonts w:ascii="Arial" w:hAnsi="Arial" w:cs="Arial"/>
              </w:rPr>
              <w:t>1.51</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1985</w:t>
            </w:r>
          </w:p>
        </w:tc>
        <w:tc>
          <w:tcPr>
            <w:tcW w:w="2160" w:type="dxa"/>
          </w:tcPr>
          <w:p w:rsidR="001C0D62" w:rsidRDefault="001C0D62">
            <w:pPr>
              <w:pStyle w:val="Footer"/>
              <w:tabs>
                <w:tab w:val="clear" w:pos="4320"/>
                <w:tab w:val="clear" w:pos="8640"/>
              </w:tabs>
              <w:jc w:val="center"/>
              <w:rPr>
                <w:rFonts w:ascii="Arial" w:hAnsi="Arial" w:cs="Arial"/>
              </w:rPr>
            </w:pPr>
            <w:r>
              <w:rPr>
                <w:rFonts w:ascii="Arial" w:hAnsi="Arial" w:cs="Arial"/>
              </w:rPr>
              <w:t>1.62</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1986</w:t>
            </w:r>
          </w:p>
        </w:tc>
        <w:tc>
          <w:tcPr>
            <w:tcW w:w="2160" w:type="dxa"/>
          </w:tcPr>
          <w:p w:rsidR="001C0D62" w:rsidRDefault="001C0D62">
            <w:pPr>
              <w:pStyle w:val="Footer"/>
              <w:tabs>
                <w:tab w:val="clear" w:pos="4320"/>
                <w:tab w:val="clear" w:pos="8640"/>
              </w:tabs>
              <w:jc w:val="center"/>
              <w:rPr>
                <w:rFonts w:ascii="Arial" w:hAnsi="Arial" w:cs="Arial"/>
              </w:rPr>
            </w:pPr>
            <w:r>
              <w:rPr>
                <w:rFonts w:ascii="Arial" w:hAnsi="Arial" w:cs="Arial"/>
              </w:rPr>
              <w:t>1.55</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1987</w:t>
            </w:r>
          </w:p>
        </w:tc>
        <w:tc>
          <w:tcPr>
            <w:tcW w:w="2160" w:type="dxa"/>
          </w:tcPr>
          <w:p w:rsidR="001C0D62" w:rsidRDefault="001C0D62">
            <w:pPr>
              <w:pStyle w:val="Footer"/>
              <w:tabs>
                <w:tab w:val="clear" w:pos="4320"/>
                <w:tab w:val="clear" w:pos="8640"/>
              </w:tabs>
              <w:jc w:val="center"/>
              <w:rPr>
                <w:rFonts w:ascii="Arial" w:hAnsi="Arial" w:cs="Arial"/>
              </w:rPr>
            </w:pPr>
            <w:r>
              <w:rPr>
                <w:rFonts w:ascii="Arial" w:hAnsi="Arial" w:cs="Arial"/>
              </w:rPr>
              <w:t>1.61</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1988</w:t>
            </w:r>
          </w:p>
        </w:tc>
        <w:tc>
          <w:tcPr>
            <w:tcW w:w="2160" w:type="dxa"/>
          </w:tcPr>
          <w:p w:rsidR="001C0D62" w:rsidRDefault="001C0D62">
            <w:pPr>
              <w:pStyle w:val="Footer"/>
              <w:jc w:val="center"/>
              <w:rPr>
                <w:rFonts w:ascii="Arial" w:hAnsi="Arial" w:cs="Arial"/>
              </w:rPr>
            </w:pPr>
            <w:r>
              <w:rPr>
                <w:rFonts w:ascii="Arial" w:hAnsi="Arial" w:cs="Arial"/>
              </w:rPr>
              <w:t>1.54</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1989</w:t>
            </w:r>
          </w:p>
        </w:tc>
        <w:tc>
          <w:tcPr>
            <w:tcW w:w="2160" w:type="dxa"/>
          </w:tcPr>
          <w:p w:rsidR="001C0D62" w:rsidRDefault="001C0D62">
            <w:pPr>
              <w:pStyle w:val="Footer"/>
              <w:jc w:val="center"/>
              <w:rPr>
                <w:rFonts w:ascii="Arial" w:hAnsi="Arial" w:cs="Arial"/>
              </w:rPr>
            </w:pPr>
            <w:r>
              <w:rPr>
                <w:rFonts w:ascii="Arial" w:hAnsi="Arial" w:cs="Arial"/>
              </w:rPr>
              <w:t>1.42</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1990</w:t>
            </w:r>
          </w:p>
        </w:tc>
        <w:tc>
          <w:tcPr>
            <w:tcW w:w="2160" w:type="dxa"/>
          </w:tcPr>
          <w:p w:rsidR="001C0D62" w:rsidRDefault="001C0D62">
            <w:pPr>
              <w:pStyle w:val="Footer"/>
              <w:jc w:val="center"/>
              <w:rPr>
                <w:rFonts w:ascii="Arial" w:hAnsi="Arial" w:cs="Arial"/>
              </w:rPr>
            </w:pPr>
            <w:r>
              <w:rPr>
                <w:rFonts w:ascii="Arial" w:hAnsi="Arial" w:cs="Arial"/>
              </w:rPr>
              <w:t>1.34</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1991</w:t>
            </w:r>
          </w:p>
        </w:tc>
        <w:tc>
          <w:tcPr>
            <w:tcW w:w="2160" w:type="dxa"/>
          </w:tcPr>
          <w:p w:rsidR="001C0D62" w:rsidRDefault="001C0D62">
            <w:pPr>
              <w:pStyle w:val="Footer"/>
              <w:jc w:val="center"/>
              <w:rPr>
                <w:rFonts w:ascii="Arial" w:hAnsi="Arial" w:cs="Arial"/>
              </w:rPr>
            </w:pPr>
            <w:r>
              <w:rPr>
                <w:rFonts w:ascii="Arial" w:hAnsi="Arial" w:cs="Arial"/>
              </w:rPr>
              <w:t>1.49</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1992</w:t>
            </w:r>
          </w:p>
        </w:tc>
        <w:tc>
          <w:tcPr>
            <w:tcW w:w="2160" w:type="dxa"/>
          </w:tcPr>
          <w:p w:rsidR="001C0D62" w:rsidRDefault="001C0D62">
            <w:pPr>
              <w:pStyle w:val="Footer"/>
              <w:jc w:val="center"/>
              <w:rPr>
                <w:rFonts w:ascii="Arial" w:hAnsi="Arial" w:cs="Arial"/>
              </w:rPr>
            </w:pPr>
            <w:r>
              <w:rPr>
                <w:rFonts w:ascii="Arial" w:hAnsi="Arial" w:cs="Arial"/>
              </w:rPr>
              <w:t>1.40</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1993</w:t>
            </w:r>
          </w:p>
        </w:tc>
        <w:tc>
          <w:tcPr>
            <w:tcW w:w="2160" w:type="dxa"/>
          </w:tcPr>
          <w:p w:rsidR="001C0D62" w:rsidRDefault="001C0D62">
            <w:pPr>
              <w:pStyle w:val="Footer"/>
              <w:jc w:val="center"/>
              <w:rPr>
                <w:rFonts w:ascii="Arial" w:hAnsi="Arial" w:cs="Arial"/>
              </w:rPr>
            </w:pPr>
            <w:r>
              <w:rPr>
                <w:rFonts w:ascii="Arial" w:hAnsi="Arial" w:cs="Arial"/>
              </w:rPr>
              <w:t>1.48</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1994</w:t>
            </w:r>
          </w:p>
        </w:tc>
        <w:tc>
          <w:tcPr>
            <w:tcW w:w="2160" w:type="dxa"/>
          </w:tcPr>
          <w:p w:rsidR="001C0D62" w:rsidRDefault="001C0D62">
            <w:pPr>
              <w:pStyle w:val="Footer"/>
              <w:jc w:val="center"/>
              <w:rPr>
                <w:rFonts w:ascii="Arial" w:hAnsi="Arial" w:cs="Arial"/>
              </w:rPr>
            </w:pPr>
            <w:r>
              <w:rPr>
                <w:rFonts w:ascii="Arial" w:hAnsi="Arial" w:cs="Arial"/>
              </w:rPr>
              <w:t>1.47</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1995</w:t>
            </w:r>
          </w:p>
        </w:tc>
        <w:tc>
          <w:tcPr>
            <w:tcW w:w="2160" w:type="dxa"/>
          </w:tcPr>
          <w:p w:rsidR="001C0D62" w:rsidRDefault="001C0D62">
            <w:pPr>
              <w:pStyle w:val="Footer"/>
              <w:jc w:val="center"/>
              <w:rPr>
                <w:rFonts w:ascii="Arial" w:hAnsi="Arial" w:cs="Arial"/>
              </w:rPr>
            </w:pPr>
            <w:r>
              <w:rPr>
                <w:rFonts w:ascii="Arial" w:hAnsi="Arial" w:cs="Arial"/>
              </w:rPr>
              <w:t>1.29</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1996</w:t>
            </w:r>
          </w:p>
        </w:tc>
        <w:tc>
          <w:tcPr>
            <w:tcW w:w="2160" w:type="dxa"/>
          </w:tcPr>
          <w:p w:rsidR="001C0D62" w:rsidRDefault="001C0D62">
            <w:pPr>
              <w:pStyle w:val="Footer"/>
              <w:jc w:val="center"/>
              <w:rPr>
                <w:rFonts w:ascii="Arial" w:hAnsi="Arial" w:cs="Arial"/>
              </w:rPr>
            </w:pPr>
            <w:r>
              <w:rPr>
                <w:rFonts w:ascii="Arial" w:hAnsi="Arial" w:cs="Arial"/>
              </w:rPr>
              <w:t>1.30</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1997</w:t>
            </w:r>
          </w:p>
        </w:tc>
        <w:tc>
          <w:tcPr>
            <w:tcW w:w="2160" w:type="dxa"/>
          </w:tcPr>
          <w:p w:rsidR="001C0D62" w:rsidRDefault="001C0D62">
            <w:pPr>
              <w:pStyle w:val="Footer"/>
              <w:jc w:val="center"/>
              <w:rPr>
                <w:rFonts w:ascii="Arial" w:hAnsi="Arial" w:cs="Arial"/>
              </w:rPr>
            </w:pPr>
            <w:r>
              <w:rPr>
                <w:rFonts w:ascii="Arial" w:hAnsi="Arial" w:cs="Arial"/>
              </w:rPr>
              <w:t>1.32</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1998</w:t>
            </w:r>
          </w:p>
        </w:tc>
        <w:tc>
          <w:tcPr>
            <w:tcW w:w="2160" w:type="dxa"/>
          </w:tcPr>
          <w:p w:rsidR="001C0D62" w:rsidRDefault="001C0D62">
            <w:pPr>
              <w:pStyle w:val="Footer"/>
              <w:jc w:val="center"/>
              <w:rPr>
                <w:rFonts w:ascii="Arial" w:hAnsi="Arial" w:cs="Arial"/>
              </w:rPr>
            </w:pPr>
            <w:r>
              <w:rPr>
                <w:rFonts w:ascii="Arial" w:hAnsi="Arial" w:cs="Arial"/>
              </w:rPr>
              <w:t>1.55</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1999</w:t>
            </w:r>
          </w:p>
        </w:tc>
        <w:tc>
          <w:tcPr>
            <w:tcW w:w="2160" w:type="dxa"/>
          </w:tcPr>
          <w:p w:rsidR="001C0D62" w:rsidRDefault="001C0D62">
            <w:pPr>
              <w:pStyle w:val="Footer"/>
              <w:jc w:val="center"/>
              <w:rPr>
                <w:rFonts w:ascii="Arial" w:hAnsi="Arial" w:cs="Arial"/>
              </w:rPr>
            </w:pPr>
            <w:r>
              <w:rPr>
                <w:rFonts w:ascii="Arial" w:hAnsi="Arial" w:cs="Arial"/>
              </w:rPr>
              <w:t>1.53</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2000</w:t>
            </w:r>
          </w:p>
        </w:tc>
        <w:tc>
          <w:tcPr>
            <w:tcW w:w="2160" w:type="dxa"/>
          </w:tcPr>
          <w:p w:rsidR="001C0D62" w:rsidRDefault="001C0D62">
            <w:pPr>
              <w:pStyle w:val="Footer"/>
              <w:jc w:val="center"/>
              <w:rPr>
                <w:rFonts w:ascii="Arial" w:hAnsi="Arial" w:cs="Arial"/>
              </w:rPr>
            </w:pPr>
            <w:r>
              <w:rPr>
                <w:rFonts w:ascii="Arial" w:hAnsi="Arial" w:cs="Arial"/>
              </w:rPr>
              <w:t>1.38</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2001</w:t>
            </w:r>
          </w:p>
        </w:tc>
        <w:tc>
          <w:tcPr>
            <w:tcW w:w="2160" w:type="dxa"/>
          </w:tcPr>
          <w:p w:rsidR="001C0D62" w:rsidRDefault="001C0D62">
            <w:pPr>
              <w:pStyle w:val="Footer"/>
              <w:jc w:val="center"/>
              <w:rPr>
                <w:rFonts w:ascii="Arial" w:hAnsi="Arial" w:cs="Arial"/>
              </w:rPr>
            </w:pPr>
            <w:r>
              <w:rPr>
                <w:rFonts w:ascii="Arial" w:hAnsi="Arial" w:cs="Arial"/>
              </w:rPr>
              <w:t>1.51</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2002</w:t>
            </w:r>
          </w:p>
        </w:tc>
        <w:tc>
          <w:tcPr>
            <w:tcW w:w="2160" w:type="dxa"/>
          </w:tcPr>
          <w:p w:rsidR="001C0D62" w:rsidRDefault="001C0D62">
            <w:pPr>
              <w:pStyle w:val="Footer"/>
              <w:jc w:val="center"/>
              <w:rPr>
                <w:rFonts w:ascii="Arial" w:hAnsi="Arial" w:cs="Arial"/>
              </w:rPr>
            </w:pPr>
            <w:r>
              <w:rPr>
                <w:rFonts w:ascii="Arial" w:hAnsi="Arial" w:cs="Arial"/>
              </w:rPr>
              <w:t>1.17</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2003</w:t>
            </w:r>
          </w:p>
        </w:tc>
        <w:tc>
          <w:tcPr>
            <w:tcW w:w="2160" w:type="dxa"/>
          </w:tcPr>
          <w:p w:rsidR="001C0D62" w:rsidRDefault="001C0D62">
            <w:pPr>
              <w:pStyle w:val="Footer"/>
              <w:jc w:val="center"/>
              <w:rPr>
                <w:rFonts w:ascii="Arial" w:hAnsi="Arial" w:cs="Arial"/>
              </w:rPr>
            </w:pPr>
            <w:r>
              <w:rPr>
                <w:rFonts w:ascii="Arial" w:hAnsi="Arial" w:cs="Arial"/>
              </w:rPr>
              <w:t>1.24</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2004</w:t>
            </w:r>
          </w:p>
        </w:tc>
        <w:tc>
          <w:tcPr>
            <w:tcW w:w="2160" w:type="dxa"/>
          </w:tcPr>
          <w:p w:rsidR="001C0D62" w:rsidRDefault="001C0D62">
            <w:pPr>
              <w:pStyle w:val="Footer"/>
              <w:jc w:val="center"/>
              <w:rPr>
                <w:rFonts w:ascii="Arial" w:hAnsi="Arial" w:cs="Arial"/>
              </w:rPr>
            </w:pPr>
            <w:r>
              <w:rPr>
                <w:rFonts w:ascii="Arial" w:hAnsi="Arial" w:cs="Arial"/>
              </w:rPr>
              <w:t>1.34</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2005</w:t>
            </w:r>
          </w:p>
        </w:tc>
        <w:tc>
          <w:tcPr>
            <w:tcW w:w="2160" w:type="dxa"/>
          </w:tcPr>
          <w:p w:rsidR="001C0D62" w:rsidRDefault="001C0D62">
            <w:pPr>
              <w:pStyle w:val="Footer"/>
              <w:jc w:val="center"/>
              <w:rPr>
                <w:rFonts w:ascii="Arial" w:hAnsi="Arial" w:cs="Arial"/>
              </w:rPr>
            </w:pPr>
            <w:r>
              <w:rPr>
                <w:rFonts w:ascii="Arial" w:hAnsi="Arial" w:cs="Arial"/>
              </w:rPr>
              <w:t>1.03</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2006</w:t>
            </w:r>
          </w:p>
        </w:tc>
        <w:tc>
          <w:tcPr>
            <w:tcW w:w="2160" w:type="dxa"/>
          </w:tcPr>
          <w:p w:rsidR="001C0D62" w:rsidRDefault="001C0D62">
            <w:pPr>
              <w:pStyle w:val="Footer"/>
              <w:jc w:val="center"/>
              <w:rPr>
                <w:rFonts w:ascii="Arial" w:hAnsi="Arial" w:cs="Arial"/>
              </w:rPr>
            </w:pPr>
            <w:r>
              <w:rPr>
                <w:rFonts w:ascii="Arial" w:hAnsi="Arial" w:cs="Arial"/>
              </w:rPr>
              <w:t>1.33</w:t>
            </w:r>
          </w:p>
        </w:tc>
      </w:tr>
    </w:tbl>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u w:val="single"/>
        </w:rPr>
      </w:pPr>
    </w:p>
    <w:p w:rsidR="001C0D62" w:rsidRDefault="001C0D62">
      <w:pPr>
        <w:pStyle w:val="Footer"/>
        <w:tabs>
          <w:tab w:val="clear" w:pos="4320"/>
          <w:tab w:val="clear" w:pos="8640"/>
        </w:tabs>
        <w:rPr>
          <w:rFonts w:ascii="Arial" w:hAnsi="Arial" w:cs="Arial"/>
          <w:u w:val="single"/>
        </w:rPr>
      </w:pPr>
    </w:p>
    <w:p w:rsidR="001C0D62" w:rsidRDefault="001C0D62">
      <w:pPr>
        <w:pStyle w:val="Footer"/>
        <w:tabs>
          <w:tab w:val="clear" w:pos="4320"/>
          <w:tab w:val="clear" w:pos="8640"/>
        </w:tabs>
        <w:rPr>
          <w:rFonts w:ascii="Arial" w:hAnsi="Arial" w:cs="Arial"/>
          <w:u w:val="single"/>
        </w:rPr>
      </w:pPr>
      <w:r>
        <w:rPr>
          <w:rFonts w:ascii="Arial" w:hAnsi="Arial" w:cs="Arial"/>
          <w:u w:val="single"/>
        </w:rPr>
        <w:t xml:space="preserve">Table 5: </w:t>
      </w:r>
      <w:smartTag w:uri="urn:schemas-microsoft-com:office:smarttags" w:element="place">
        <w:r>
          <w:rPr>
            <w:rFonts w:ascii="Arial" w:hAnsi="Arial" w:cs="Arial"/>
            <w:u w:val="single"/>
          </w:rPr>
          <w:t>East Pomerania</w:t>
        </w:r>
      </w:smartTag>
      <w:r>
        <w:rPr>
          <w:rFonts w:ascii="Arial" w:hAnsi="Arial" w:cs="Arial"/>
          <w:u w:val="single"/>
        </w:rPr>
        <w:t xml:space="preserve"> data</w:t>
      </w: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r>
        <w:rPr>
          <w:rFonts w:ascii="Arial" w:hAnsi="Arial" w:cs="Arial"/>
        </w:rPr>
        <w:t xml:space="preserve">The table shows the average annual ring widths of Oak tree core samples from East Pomerania (Poland) between 1972 and 1985 (NCDC, 2013).  </w:t>
      </w: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28"/>
        <w:gridCol w:w="2376"/>
      </w:tblGrid>
      <w:tr w:rsidR="001C0D62">
        <w:tblPrEx>
          <w:tblCellMar>
            <w:top w:w="0" w:type="dxa"/>
            <w:bottom w:w="0" w:type="dxa"/>
          </w:tblCellMar>
        </w:tblPrEx>
        <w:trPr>
          <w:jc w:val="center"/>
        </w:trPr>
        <w:tc>
          <w:tcPr>
            <w:tcW w:w="1728" w:type="dxa"/>
          </w:tcPr>
          <w:p w:rsidR="001C0D62" w:rsidRDefault="001C0D62">
            <w:pPr>
              <w:pStyle w:val="Footer"/>
              <w:tabs>
                <w:tab w:val="clear" w:pos="4320"/>
                <w:tab w:val="clear" w:pos="8640"/>
              </w:tabs>
              <w:jc w:val="center"/>
              <w:rPr>
                <w:rFonts w:ascii="Arial" w:hAnsi="Arial" w:cs="Arial"/>
                <w:b/>
                <w:bCs/>
                <w:sz w:val="22"/>
              </w:rPr>
            </w:pPr>
            <w:r>
              <w:rPr>
                <w:rFonts w:ascii="Arial" w:hAnsi="Arial" w:cs="Arial"/>
                <w:b/>
                <w:bCs/>
                <w:sz w:val="22"/>
              </w:rPr>
              <w:t>Year</w:t>
            </w:r>
          </w:p>
        </w:tc>
        <w:tc>
          <w:tcPr>
            <w:tcW w:w="2376" w:type="dxa"/>
          </w:tcPr>
          <w:p w:rsidR="001C0D62" w:rsidRDefault="001C0D62">
            <w:pPr>
              <w:pStyle w:val="Footer"/>
              <w:tabs>
                <w:tab w:val="clear" w:pos="4320"/>
                <w:tab w:val="clear" w:pos="8640"/>
              </w:tabs>
              <w:jc w:val="center"/>
              <w:rPr>
                <w:rFonts w:ascii="Arial" w:hAnsi="Arial" w:cs="Arial"/>
              </w:rPr>
            </w:pPr>
            <w:smartTag w:uri="urn:schemas-microsoft-com:office:smarttags" w:element="place">
              <w:r>
                <w:rPr>
                  <w:rFonts w:ascii="Arial" w:hAnsi="Arial" w:cs="Arial"/>
                  <w:b/>
                  <w:bCs/>
                  <w:sz w:val="22"/>
                </w:rPr>
                <w:t>East Pomerania</w:t>
              </w:r>
            </w:smartTag>
            <w:r>
              <w:rPr>
                <w:rFonts w:ascii="Arial" w:hAnsi="Arial" w:cs="Arial"/>
                <w:b/>
                <w:bCs/>
                <w:sz w:val="22"/>
              </w:rPr>
              <w:t xml:space="preserve"> Oak ring widths (mm)</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 xml:space="preserve"> 1972</w:t>
            </w:r>
          </w:p>
        </w:tc>
        <w:tc>
          <w:tcPr>
            <w:tcW w:w="2376" w:type="dxa"/>
          </w:tcPr>
          <w:p w:rsidR="001C0D62" w:rsidRDefault="001C0D62">
            <w:pPr>
              <w:pStyle w:val="Footer"/>
              <w:tabs>
                <w:tab w:val="clear" w:pos="4320"/>
                <w:tab w:val="clear" w:pos="8640"/>
              </w:tabs>
              <w:jc w:val="center"/>
              <w:rPr>
                <w:rFonts w:ascii="Arial" w:hAnsi="Arial" w:cs="Arial"/>
              </w:rPr>
            </w:pPr>
            <w:r>
              <w:rPr>
                <w:rFonts w:ascii="Arial" w:hAnsi="Arial" w:cs="Arial"/>
              </w:rPr>
              <w:t>1.53</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1973</w:t>
            </w:r>
          </w:p>
        </w:tc>
        <w:tc>
          <w:tcPr>
            <w:tcW w:w="2376" w:type="dxa"/>
          </w:tcPr>
          <w:p w:rsidR="001C0D62" w:rsidRDefault="001C0D62">
            <w:pPr>
              <w:pStyle w:val="Footer"/>
              <w:tabs>
                <w:tab w:val="clear" w:pos="4320"/>
                <w:tab w:val="clear" w:pos="8640"/>
              </w:tabs>
              <w:jc w:val="center"/>
              <w:rPr>
                <w:rFonts w:ascii="Arial" w:hAnsi="Arial" w:cs="Arial"/>
              </w:rPr>
            </w:pPr>
            <w:r>
              <w:rPr>
                <w:rFonts w:ascii="Arial" w:hAnsi="Arial" w:cs="Arial"/>
              </w:rPr>
              <w:t>1.30</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1974</w:t>
            </w:r>
          </w:p>
        </w:tc>
        <w:tc>
          <w:tcPr>
            <w:tcW w:w="2376" w:type="dxa"/>
          </w:tcPr>
          <w:p w:rsidR="001C0D62" w:rsidRDefault="001C0D62">
            <w:pPr>
              <w:pStyle w:val="Footer"/>
              <w:tabs>
                <w:tab w:val="clear" w:pos="4320"/>
                <w:tab w:val="clear" w:pos="8640"/>
              </w:tabs>
              <w:jc w:val="center"/>
              <w:rPr>
                <w:rFonts w:ascii="Arial" w:hAnsi="Arial" w:cs="Arial"/>
              </w:rPr>
            </w:pPr>
            <w:r>
              <w:rPr>
                <w:rFonts w:ascii="Arial" w:hAnsi="Arial" w:cs="Arial"/>
              </w:rPr>
              <w:t>1.35</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1975</w:t>
            </w:r>
          </w:p>
        </w:tc>
        <w:tc>
          <w:tcPr>
            <w:tcW w:w="2376" w:type="dxa"/>
          </w:tcPr>
          <w:p w:rsidR="001C0D62" w:rsidRDefault="001C0D62">
            <w:pPr>
              <w:pStyle w:val="Footer"/>
              <w:tabs>
                <w:tab w:val="clear" w:pos="4320"/>
                <w:tab w:val="clear" w:pos="8640"/>
              </w:tabs>
              <w:jc w:val="center"/>
              <w:rPr>
                <w:rFonts w:ascii="Arial" w:hAnsi="Arial" w:cs="Arial"/>
              </w:rPr>
            </w:pPr>
            <w:r>
              <w:rPr>
                <w:rFonts w:ascii="Arial" w:hAnsi="Arial" w:cs="Arial"/>
              </w:rPr>
              <w:t>1.28</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1976</w:t>
            </w:r>
          </w:p>
        </w:tc>
        <w:tc>
          <w:tcPr>
            <w:tcW w:w="2376" w:type="dxa"/>
          </w:tcPr>
          <w:p w:rsidR="001C0D62" w:rsidRDefault="001C0D62">
            <w:pPr>
              <w:pStyle w:val="Footer"/>
              <w:tabs>
                <w:tab w:val="clear" w:pos="4320"/>
                <w:tab w:val="clear" w:pos="8640"/>
              </w:tabs>
              <w:jc w:val="center"/>
              <w:rPr>
                <w:rFonts w:ascii="Arial" w:hAnsi="Arial" w:cs="Arial"/>
              </w:rPr>
            </w:pPr>
            <w:r>
              <w:rPr>
                <w:rFonts w:ascii="Arial" w:hAnsi="Arial" w:cs="Arial"/>
              </w:rPr>
              <w:t>1.19</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1977</w:t>
            </w:r>
          </w:p>
        </w:tc>
        <w:tc>
          <w:tcPr>
            <w:tcW w:w="2376" w:type="dxa"/>
          </w:tcPr>
          <w:p w:rsidR="001C0D62" w:rsidRDefault="001C0D62">
            <w:pPr>
              <w:pStyle w:val="Footer"/>
              <w:tabs>
                <w:tab w:val="clear" w:pos="4320"/>
                <w:tab w:val="clear" w:pos="8640"/>
              </w:tabs>
              <w:jc w:val="center"/>
              <w:rPr>
                <w:rFonts w:ascii="Arial" w:hAnsi="Arial" w:cs="Arial"/>
              </w:rPr>
            </w:pPr>
            <w:r>
              <w:rPr>
                <w:rFonts w:ascii="Arial" w:hAnsi="Arial" w:cs="Arial"/>
              </w:rPr>
              <w:t>1.35</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1978</w:t>
            </w:r>
          </w:p>
        </w:tc>
        <w:tc>
          <w:tcPr>
            <w:tcW w:w="2376" w:type="dxa"/>
          </w:tcPr>
          <w:p w:rsidR="001C0D62" w:rsidRDefault="001C0D62">
            <w:pPr>
              <w:pStyle w:val="Footer"/>
              <w:tabs>
                <w:tab w:val="clear" w:pos="4320"/>
                <w:tab w:val="clear" w:pos="8640"/>
              </w:tabs>
              <w:jc w:val="center"/>
              <w:rPr>
                <w:rFonts w:ascii="Arial" w:hAnsi="Arial" w:cs="Arial"/>
              </w:rPr>
            </w:pPr>
            <w:r>
              <w:rPr>
                <w:rFonts w:ascii="Arial" w:hAnsi="Arial" w:cs="Arial"/>
              </w:rPr>
              <w:t>1.39</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1979</w:t>
            </w:r>
          </w:p>
        </w:tc>
        <w:tc>
          <w:tcPr>
            <w:tcW w:w="2376" w:type="dxa"/>
          </w:tcPr>
          <w:p w:rsidR="001C0D62" w:rsidRDefault="001C0D62">
            <w:pPr>
              <w:pStyle w:val="Footer"/>
              <w:tabs>
                <w:tab w:val="clear" w:pos="4320"/>
                <w:tab w:val="clear" w:pos="8640"/>
              </w:tabs>
              <w:jc w:val="center"/>
              <w:rPr>
                <w:rFonts w:ascii="Arial" w:hAnsi="Arial" w:cs="Arial"/>
              </w:rPr>
            </w:pPr>
            <w:r>
              <w:rPr>
                <w:rFonts w:ascii="Arial" w:hAnsi="Arial" w:cs="Arial"/>
              </w:rPr>
              <w:t>1.44</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1980</w:t>
            </w:r>
          </w:p>
        </w:tc>
        <w:tc>
          <w:tcPr>
            <w:tcW w:w="2376" w:type="dxa"/>
          </w:tcPr>
          <w:p w:rsidR="001C0D62" w:rsidRDefault="001C0D62">
            <w:pPr>
              <w:pStyle w:val="Footer"/>
              <w:tabs>
                <w:tab w:val="clear" w:pos="4320"/>
                <w:tab w:val="clear" w:pos="8640"/>
              </w:tabs>
              <w:jc w:val="center"/>
              <w:rPr>
                <w:rFonts w:ascii="Arial" w:hAnsi="Arial" w:cs="Arial"/>
              </w:rPr>
            </w:pPr>
            <w:r>
              <w:rPr>
                <w:rFonts w:ascii="Arial" w:hAnsi="Arial" w:cs="Arial"/>
              </w:rPr>
              <w:t>1.77</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1981</w:t>
            </w:r>
          </w:p>
        </w:tc>
        <w:tc>
          <w:tcPr>
            <w:tcW w:w="2376" w:type="dxa"/>
          </w:tcPr>
          <w:p w:rsidR="001C0D62" w:rsidRDefault="001C0D62">
            <w:pPr>
              <w:pStyle w:val="Footer"/>
              <w:tabs>
                <w:tab w:val="clear" w:pos="4320"/>
                <w:tab w:val="clear" w:pos="8640"/>
              </w:tabs>
              <w:jc w:val="center"/>
              <w:rPr>
                <w:rFonts w:ascii="Arial" w:hAnsi="Arial" w:cs="Arial"/>
              </w:rPr>
            </w:pPr>
            <w:r>
              <w:rPr>
                <w:rFonts w:ascii="Arial" w:hAnsi="Arial" w:cs="Arial"/>
              </w:rPr>
              <w:t>1.48</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1982</w:t>
            </w:r>
          </w:p>
        </w:tc>
        <w:tc>
          <w:tcPr>
            <w:tcW w:w="2376" w:type="dxa"/>
          </w:tcPr>
          <w:p w:rsidR="001C0D62" w:rsidRDefault="001C0D62">
            <w:pPr>
              <w:pStyle w:val="Footer"/>
              <w:tabs>
                <w:tab w:val="clear" w:pos="4320"/>
                <w:tab w:val="clear" w:pos="8640"/>
              </w:tabs>
              <w:jc w:val="center"/>
              <w:rPr>
                <w:rFonts w:ascii="Arial" w:hAnsi="Arial" w:cs="Arial"/>
              </w:rPr>
            </w:pPr>
            <w:r>
              <w:rPr>
                <w:rFonts w:ascii="Arial" w:hAnsi="Arial" w:cs="Arial"/>
              </w:rPr>
              <w:t>1.48</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1983</w:t>
            </w:r>
          </w:p>
        </w:tc>
        <w:tc>
          <w:tcPr>
            <w:tcW w:w="2376" w:type="dxa"/>
          </w:tcPr>
          <w:p w:rsidR="001C0D62" w:rsidRDefault="001C0D62">
            <w:pPr>
              <w:pStyle w:val="Footer"/>
              <w:tabs>
                <w:tab w:val="clear" w:pos="4320"/>
                <w:tab w:val="clear" w:pos="8640"/>
              </w:tabs>
              <w:jc w:val="center"/>
              <w:rPr>
                <w:rFonts w:ascii="Arial" w:hAnsi="Arial" w:cs="Arial"/>
              </w:rPr>
            </w:pPr>
            <w:r>
              <w:rPr>
                <w:rFonts w:ascii="Arial" w:hAnsi="Arial" w:cs="Arial"/>
              </w:rPr>
              <w:t>1.41</w:t>
            </w:r>
          </w:p>
        </w:tc>
      </w:tr>
      <w:tr w:rsidR="001C0D62">
        <w:tblPrEx>
          <w:tblCellMar>
            <w:top w:w="0" w:type="dxa"/>
            <w:bottom w:w="0" w:type="dxa"/>
          </w:tblCellMar>
        </w:tblPrEx>
        <w:trPr>
          <w:jc w:val="center"/>
        </w:trPr>
        <w:tc>
          <w:tcPr>
            <w:tcW w:w="1728" w:type="dxa"/>
          </w:tcPr>
          <w:p w:rsidR="001C0D62" w:rsidRDefault="001C0D62">
            <w:pPr>
              <w:jc w:val="center"/>
              <w:rPr>
                <w:rFonts w:ascii="Arial" w:hAnsi="Arial" w:cs="Arial"/>
                <w:sz w:val="23"/>
              </w:rPr>
            </w:pPr>
            <w:r>
              <w:rPr>
                <w:rFonts w:ascii="Arial" w:hAnsi="Arial" w:cs="Arial"/>
                <w:sz w:val="23"/>
              </w:rPr>
              <w:t>1984</w:t>
            </w:r>
          </w:p>
        </w:tc>
        <w:tc>
          <w:tcPr>
            <w:tcW w:w="2376" w:type="dxa"/>
          </w:tcPr>
          <w:p w:rsidR="001C0D62" w:rsidRDefault="001C0D62">
            <w:pPr>
              <w:pStyle w:val="Footer"/>
              <w:tabs>
                <w:tab w:val="clear" w:pos="4320"/>
                <w:tab w:val="clear" w:pos="8640"/>
              </w:tabs>
              <w:jc w:val="center"/>
              <w:rPr>
                <w:rFonts w:ascii="Arial" w:hAnsi="Arial" w:cs="Arial"/>
              </w:rPr>
            </w:pPr>
            <w:r>
              <w:rPr>
                <w:rFonts w:ascii="Arial" w:hAnsi="Arial" w:cs="Arial"/>
              </w:rPr>
              <w:t>1.51</w:t>
            </w:r>
          </w:p>
        </w:tc>
      </w:tr>
      <w:tr w:rsidR="001C0D62">
        <w:tblPrEx>
          <w:tblCellMar>
            <w:top w:w="0" w:type="dxa"/>
            <w:bottom w:w="0" w:type="dxa"/>
          </w:tblCellMar>
        </w:tblPrEx>
        <w:trPr>
          <w:trHeight w:val="90"/>
          <w:jc w:val="center"/>
        </w:trPr>
        <w:tc>
          <w:tcPr>
            <w:tcW w:w="1728" w:type="dxa"/>
          </w:tcPr>
          <w:p w:rsidR="001C0D62" w:rsidRDefault="001C0D62">
            <w:pPr>
              <w:jc w:val="center"/>
              <w:rPr>
                <w:rFonts w:ascii="Arial" w:hAnsi="Arial" w:cs="Arial"/>
                <w:sz w:val="23"/>
              </w:rPr>
            </w:pPr>
            <w:r>
              <w:rPr>
                <w:rFonts w:ascii="Arial" w:hAnsi="Arial" w:cs="Arial"/>
                <w:sz w:val="23"/>
              </w:rPr>
              <w:t>1985</w:t>
            </w:r>
          </w:p>
        </w:tc>
        <w:tc>
          <w:tcPr>
            <w:tcW w:w="2376" w:type="dxa"/>
          </w:tcPr>
          <w:p w:rsidR="001C0D62" w:rsidRDefault="001C0D62">
            <w:pPr>
              <w:pStyle w:val="Footer"/>
              <w:tabs>
                <w:tab w:val="clear" w:pos="4320"/>
                <w:tab w:val="clear" w:pos="8640"/>
              </w:tabs>
              <w:jc w:val="center"/>
              <w:rPr>
                <w:rFonts w:ascii="Arial" w:hAnsi="Arial" w:cs="Arial"/>
              </w:rPr>
            </w:pPr>
            <w:r>
              <w:rPr>
                <w:rFonts w:ascii="Arial" w:hAnsi="Arial" w:cs="Arial"/>
              </w:rPr>
              <w:t>1.36</w:t>
            </w:r>
          </w:p>
        </w:tc>
      </w:tr>
    </w:tbl>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pStyle w:val="Title"/>
      </w:pPr>
      <w:r>
        <w:t>Appendix H</w:t>
      </w:r>
    </w:p>
    <w:p w:rsidR="001C0D62" w:rsidRDefault="001C0D62">
      <w:pPr>
        <w:pStyle w:val="Subtitle"/>
        <w:rPr>
          <w:b/>
          <w:bCs/>
        </w:rPr>
      </w:pPr>
      <w:r>
        <w:rPr>
          <w:b/>
          <w:bCs/>
        </w:rPr>
        <w:br/>
      </w:r>
    </w:p>
    <w:p w:rsidR="001C0D62" w:rsidRDefault="001C0D62">
      <w:pPr>
        <w:pStyle w:val="Subtitle"/>
        <w:jc w:val="center"/>
        <w:rPr>
          <w:b/>
          <w:bCs/>
          <w:sz w:val="26"/>
        </w:rPr>
      </w:pPr>
      <w:r>
        <w:rPr>
          <w:b/>
          <w:bCs/>
          <w:sz w:val="26"/>
        </w:rPr>
        <w:t>Normality tests for each data set</w:t>
      </w:r>
    </w:p>
    <w:p w:rsidR="001C0D62" w:rsidRDefault="001C0D62">
      <w:pPr>
        <w:pStyle w:val="Heading1"/>
        <w:jc w:val="left"/>
        <w:rPr>
          <w:b w:val="0"/>
          <w:bCs w:val="0"/>
          <w:sz w:val="24"/>
        </w:rPr>
      </w:pPr>
    </w:p>
    <w:p w:rsidR="001C0D62" w:rsidRDefault="001C0D62">
      <w:pPr>
        <w:pStyle w:val="Heading1"/>
        <w:jc w:val="both"/>
        <w:rPr>
          <w:b w:val="0"/>
          <w:bCs w:val="0"/>
          <w:sz w:val="24"/>
          <w:u w:val="none"/>
        </w:rPr>
      </w:pPr>
      <w:r>
        <w:rPr>
          <w:b w:val="0"/>
          <w:bCs w:val="0"/>
          <w:sz w:val="24"/>
          <w:u w:val="none"/>
        </w:rPr>
        <w:br/>
        <w:t>The following statistical graphs show the normality tests for each data set. This shows if the data are normally distributed or not.</w:t>
      </w:r>
    </w:p>
    <w:p w:rsidR="001C0D62" w:rsidRDefault="001C0D62"/>
    <w:p w:rsidR="001C0D62" w:rsidRDefault="001C0D62">
      <w:pPr>
        <w:pStyle w:val="Heading1"/>
        <w:jc w:val="left"/>
        <w:rPr>
          <w:b w:val="0"/>
          <w:bCs w:val="0"/>
          <w:sz w:val="24"/>
        </w:rPr>
      </w:pPr>
    </w:p>
    <w:p w:rsidR="001C0D62" w:rsidRDefault="001C0D62">
      <w:pPr>
        <w:pStyle w:val="Heading1"/>
        <w:jc w:val="left"/>
        <w:rPr>
          <w:b w:val="0"/>
          <w:bCs w:val="0"/>
          <w:sz w:val="24"/>
        </w:rPr>
      </w:pPr>
      <w:r>
        <w:rPr>
          <w:b w:val="0"/>
          <w:bCs w:val="0"/>
          <w:sz w:val="24"/>
        </w:rPr>
        <w:t>Precipitation</w:t>
      </w:r>
      <w:r>
        <w:rPr>
          <w:b w:val="0"/>
          <w:bCs w:val="0"/>
          <w:sz w:val="24"/>
          <w:u w:val="none"/>
        </w:rPr>
        <w:t xml:space="preserve">                                               </w:t>
      </w:r>
    </w:p>
    <w:p w:rsidR="001C0D62" w:rsidRDefault="001C0D62">
      <w:r>
        <w:object w:dxaOrig="8640" w:dyaOrig="5760">
          <v:shape id="_x0000_i1062" type="#_x0000_t75" style="width:270pt;height:180pt" o:ole="">
            <v:imagedata r:id="rId96" o:title=""/>
          </v:shape>
          <o:OLEObject Type="Embed" ProgID="MtbGraph.Document.16" ShapeID="_x0000_i1062" DrawAspect="Content" ObjectID="_1432030852" r:id="rId97"/>
        </w:object>
      </w:r>
      <w:r>
        <w:t xml:space="preserve"> </w:t>
      </w:r>
    </w:p>
    <w:p w:rsidR="001C0D62" w:rsidRDefault="001C0D62"/>
    <w:p w:rsidR="001C0D62" w:rsidRDefault="001C0D62"/>
    <w:p w:rsidR="001C0D62" w:rsidRDefault="001C0D62">
      <w:pPr>
        <w:pStyle w:val="Heading5"/>
      </w:pPr>
      <w:r>
        <w:t>Temperature</w:t>
      </w:r>
    </w:p>
    <w:p w:rsidR="001C0D62" w:rsidRDefault="001C0D62">
      <w:pPr>
        <w:rPr>
          <w:rFonts w:ascii="Arial" w:hAnsi="Arial" w:cs="Arial"/>
          <w:u w:val="single"/>
        </w:rPr>
      </w:pPr>
      <w:r>
        <w:object w:dxaOrig="8640" w:dyaOrig="5760">
          <v:shape id="_x0000_i1063" type="#_x0000_t75" style="width:270pt;height:181pt" o:ole="">
            <v:imagedata r:id="rId98" o:title=""/>
          </v:shape>
          <o:OLEObject Type="Embed" ProgID="MtbGraph.Document.16" ShapeID="_x0000_i1063" DrawAspect="Content" ObjectID="_1432030853" r:id="rId99"/>
        </w:object>
      </w:r>
    </w:p>
    <w:p w:rsidR="001C0D62" w:rsidRDefault="001C0D62">
      <w:pPr>
        <w:rPr>
          <w:rFonts w:ascii="Arial" w:hAnsi="Arial" w:cs="Arial"/>
          <w:u w:val="single"/>
        </w:rPr>
      </w:pPr>
    </w:p>
    <w:p w:rsidR="001C0D62" w:rsidRDefault="001C0D62">
      <w:pPr>
        <w:pStyle w:val="Heading1"/>
        <w:jc w:val="left"/>
        <w:rPr>
          <w:b w:val="0"/>
          <w:bCs w:val="0"/>
          <w:sz w:val="24"/>
          <w:u w:val="none"/>
        </w:rPr>
      </w:pPr>
      <w:r>
        <w:rPr>
          <w:b w:val="0"/>
          <w:bCs w:val="0"/>
          <w:sz w:val="24"/>
        </w:rPr>
        <w:t>Sycamore</w:t>
      </w:r>
      <w:r>
        <w:rPr>
          <w:b w:val="0"/>
          <w:bCs w:val="0"/>
          <w:sz w:val="24"/>
          <w:u w:val="none"/>
        </w:rPr>
        <w:t xml:space="preserve">                                                   </w:t>
      </w:r>
    </w:p>
    <w:p w:rsidR="001C0D62" w:rsidRDefault="001C0D62">
      <w:r>
        <w:object w:dxaOrig="8640" w:dyaOrig="5760">
          <v:shape id="_x0000_i1064" type="#_x0000_t75" style="width:270pt;height:180pt" o:ole="">
            <v:imagedata r:id="rId100" o:title=""/>
          </v:shape>
          <o:OLEObject Type="Embed" ProgID="MtbGraph.Document.16" ShapeID="_x0000_i1064" DrawAspect="Content" ObjectID="_1432030854" r:id="rId101"/>
        </w:object>
      </w:r>
      <w:r>
        <w:t xml:space="preserve"> </w:t>
      </w:r>
    </w:p>
    <w:p w:rsidR="001C0D62" w:rsidRDefault="001C0D62"/>
    <w:p w:rsidR="001C0D62" w:rsidRDefault="001C0D62">
      <w:pPr>
        <w:pStyle w:val="Caption"/>
      </w:pPr>
      <w:r>
        <w:t>Beech</w:t>
      </w:r>
    </w:p>
    <w:p w:rsidR="001C0D62" w:rsidRDefault="001C0D62">
      <w:pPr>
        <w:tabs>
          <w:tab w:val="left" w:pos="5040"/>
        </w:tabs>
      </w:pPr>
      <w:r>
        <w:object w:dxaOrig="8640" w:dyaOrig="5760">
          <v:shape id="_x0000_i1065" type="#_x0000_t75" style="width:270pt;height:180pt" o:ole="">
            <v:imagedata r:id="rId102" o:title=""/>
          </v:shape>
          <o:OLEObject Type="Embed" ProgID="MtbGraph.Document.16" ShapeID="_x0000_i1065" DrawAspect="Content" ObjectID="_1432030855" r:id="rId103"/>
        </w:object>
      </w:r>
    </w:p>
    <w:p w:rsidR="001C0D62" w:rsidRDefault="001C0D62"/>
    <w:p w:rsidR="001C0D62" w:rsidRDefault="001C0D62">
      <w:pPr>
        <w:pStyle w:val="Heading1"/>
        <w:jc w:val="left"/>
        <w:rPr>
          <w:b w:val="0"/>
          <w:bCs w:val="0"/>
          <w:sz w:val="24"/>
          <w:u w:val="none"/>
        </w:rPr>
      </w:pPr>
      <w:r>
        <w:rPr>
          <w:b w:val="0"/>
          <w:bCs w:val="0"/>
          <w:sz w:val="24"/>
        </w:rPr>
        <w:t>Oak</w:t>
      </w:r>
      <w:r>
        <w:rPr>
          <w:b w:val="0"/>
          <w:bCs w:val="0"/>
          <w:sz w:val="24"/>
          <w:u w:val="none"/>
        </w:rPr>
        <w:t xml:space="preserve">                                                            </w:t>
      </w:r>
    </w:p>
    <w:p w:rsidR="001C0D62" w:rsidRDefault="001C0D62">
      <w:r>
        <w:object w:dxaOrig="8640" w:dyaOrig="5760">
          <v:shape id="_x0000_i1066" type="#_x0000_t75" style="width:270pt;height:180pt" o:ole="">
            <v:imagedata r:id="rId104" o:title=""/>
          </v:shape>
          <o:OLEObject Type="Embed" ProgID="MtbGraph.Document.16" ShapeID="_x0000_i1066" DrawAspect="Content" ObjectID="_1432030856" r:id="rId105"/>
        </w:object>
      </w:r>
    </w:p>
    <w:p w:rsidR="001C0D62" w:rsidRDefault="001C0D62"/>
    <w:p w:rsidR="001C0D62" w:rsidRDefault="001C0D62">
      <w:pPr>
        <w:pStyle w:val="Heading5"/>
      </w:pPr>
      <w:smartTag w:uri="urn:schemas-microsoft-com:office:smarttags" w:element="place">
        <w:r>
          <w:t>Sheffield</w:t>
        </w:r>
      </w:smartTag>
      <w:r>
        <w:t xml:space="preserve"> Oak</w:t>
      </w:r>
    </w:p>
    <w:p w:rsidR="001C0D62" w:rsidRDefault="001C0D62">
      <w:pPr>
        <w:tabs>
          <w:tab w:val="left" w:pos="5400"/>
        </w:tabs>
      </w:pPr>
      <w:r>
        <w:object w:dxaOrig="8640" w:dyaOrig="5760">
          <v:shape id="_x0000_i1067" type="#_x0000_t75" style="width:270pt;height:180pt" o:ole="">
            <v:imagedata r:id="rId106" o:title=""/>
          </v:shape>
          <o:OLEObject Type="Embed" ProgID="MtbGraph.Document.16" ShapeID="_x0000_i1067" DrawAspect="Content" ObjectID="_1432030857" r:id="rId107"/>
        </w:object>
      </w:r>
    </w:p>
    <w:p w:rsidR="001C0D62" w:rsidRDefault="001C0D62">
      <w:pPr>
        <w:pStyle w:val="Footer"/>
        <w:tabs>
          <w:tab w:val="clear" w:pos="4320"/>
          <w:tab w:val="clear" w:pos="8640"/>
        </w:tabs>
        <w:rPr>
          <w:rFonts w:ascii="Arial" w:hAnsi="Arial" w:cs="Arial"/>
          <w:u w:val="single"/>
        </w:rPr>
      </w:pPr>
    </w:p>
    <w:p w:rsidR="001C0D62" w:rsidRDefault="001C0D62">
      <w:pPr>
        <w:pStyle w:val="Footer"/>
        <w:tabs>
          <w:tab w:val="clear" w:pos="4320"/>
          <w:tab w:val="clear" w:pos="8640"/>
        </w:tabs>
        <w:rPr>
          <w:rFonts w:ascii="Arial" w:hAnsi="Arial" w:cs="Arial"/>
        </w:rPr>
      </w:pPr>
      <w:r>
        <w:rPr>
          <w:rFonts w:ascii="Arial" w:hAnsi="Arial" w:cs="Arial"/>
          <w:u w:val="single"/>
        </w:rPr>
        <w:t>Savernake Oak</w:t>
      </w:r>
      <w:r>
        <w:rPr>
          <w:rFonts w:ascii="Arial" w:hAnsi="Arial" w:cs="Arial"/>
        </w:rPr>
        <w:t xml:space="preserve">                                                       </w:t>
      </w:r>
    </w:p>
    <w:p w:rsidR="001C0D62" w:rsidRDefault="001C0D62">
      <w:pPr>
        <w:tabs>
          <w:tab w:val="left" w:pos="5040"/>
        </w:tabs>
      </w:pPr>
      <w:r>
        <w:object w:dxaOrig="8640" w:dyaOrig="5760">
          <v:shape id="_x0000_i1068" type="#_x0000_t75" style="width:270pt;height:180pt" o:ole="">
            <v:imagedata r:id="rId108" o:title=""/>
          </v:shape>
          <o:OLEObject Type="Embed" ProgID="MtbGraph.Document.16" ShapeID="_x0000_i1068" DrawAspect="Content" ObjectID="_1432030858" r:id="rId109"/>
        </w:object>
      </w:r>
      <w:r>
        <w:t xml:space="preserve"> </w:t>
      </w:r>
    </w:p>
    <w:p w:rsidR="001C0D62" w:rsidRDefault="001C0D62"/>
    <w:p w:rsidR="001C0D62" w:rsidRDefault="001C0D62">
      <w:pPr>
        <w:pStyle w:val="Heading5"/>
      </w:pPr>
      <w:smartTag w:uri="urn:schemas-microsoft-com:office:smarttags" w:element="place">
        <w:r>
          <w:t>East Pomerania</w:t>
        </w:r>
      </w:smartTag>
    </w:p>
    <w:p w:rsidR="001C0D62" w:rsidRDefault="001C0D62">
      <w:pPr>
        <w:rPr>
          <w:rFonts w:ascii="Arial" w:hAnsi="Arial" w:cs="Arial"/>
        </w:rPr>
      </w:pPr>
      <w:r>
        <w:object w:dxaOrig="8640" w:dyaOrig="5760">
          <v:shape id="_x0000_i1069" type="#_x0000_t75" style="width:270pt;height:180pt" o:ole="">
            <v:imagedata r:id="rId110" o:title=""/>
          </v:shape>
          <o:OLEObject Type="Embed" ProgID="MtbGraph.Document.16" ShapeID="_x0000_i1069" DrawAspect="Content" ObjectID="_1432030859" r:id="rId111"/>
        </w:object>
      </w: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rPr>
          <w:rFonts w:ascii="Arial" w:hAnsi="Arial" w:cs="Arial"/>
        </w:rPr>
      </w:pPr>
    </w:p>
    <w:p w:rsidR="001C0D62" w:rsidRDefault="001C0D62">
      <w:pPr>
        <w:pStyle w:val="Footer"/>
        <w:tabs>
          <w:tab w:val="clear" w:pos="4320"/>
          <w:tab w:val="clear" w:pos="8640"/>
        </w:tabs>
        <w:jc w:val="center"/>
        <w:rPr>
          <w:rFonts w:ascii="Arial" w:hAnsi="Arial" w:cs="Arial"/>
          <w:b/>
          <w:bCs/>
          <w:sz w:val="32"/>
          <w:u w:val="single"/>
        </w:rPr>
      </w:pPr>
      <w:r>
        <w:rPr>
          <w:rFonts w:ascii="Arial" w:hAnsi="Arial" w:cs="Arial"/>
          <w:b/>
          <w:bCs/>
          <w:sz w:val="32"/>
          <w:u w:val="single"/>
        </w:rPr>
        <w:t>Appendix I</w:t>
      </w:r>
    </w:p>
    <w:p w:rsidR="001C0D62" w:rsidRDefault="001C0D62">
      <w:pPr>
        <w:pStyle w:val="Footer"/>
        <w:tabs>
          <w:tab w:val="clear" w:pos="4320"/>
          <w:tab w:val="clear" w:pos="8640"/>
        </w:tabs>
        <w:rPr>
          <w:rFonts w:ascii="Arial" w:hAnsi="Arial" w:cs="Arial"/>
          <w:sz w:val="22"/>
        </w:rPr>
      </w:pPr>
    </w:p>
    <w:p w:rsidR="001C0D62" w:rsidRDefault="001C0D62">
      <w:pPr>
        <w:pStyle w:val="Footer"/>
        <w:tabs>
          <w:tab w:val="clear" w:pos="4320"/>
          <w:tab w:val="clear" w:pos="8640"/>
        </w:tabs>
        <w:rPr>
          <w:rFonts w:ascii="Arial" w:hAnsi="Arial" w:cs="Arial"/>
          <w:sz w:val="16"/>
        </w:rPr>
      </w:pPr>
    </w:p>
    <w:p w:rsidR="001C0D62" w:rsidRDefault="001C0D62">
      <w:pPr>
        <w:pStyle w:val="Heading4"/>
        <w:jc w:val="center"/>
        <w:rPr>
          <w:b/>
          <w:sz w:val="26"/>
        </w:rPr>
      </w:pPr>
      <w:r>
        <w:rPr>
          <w:b/>
          <w:sz w:val="26"/>
        </w:rPr>
        <w:t>Critical Values for Pearson's Correlation Coefficient</w:t>
      </w:r>
    </w:p>
    <w:p w:rsidR="001C0D62" w:rsidRDefault="001C0D62">
      <w:pPr>
        <w:jc w:val="center"/>
        <w:rPr>
          <w:rFonts w:ascii="Arial" w:hAnsi="Arial" w:cs="Arial"/>
        </w:rPr>
      </w:pPr>
      <w:r>
        <w:rPr>
          <w:rFonts w:ascii="Arial" w:hAnsi="Arial" w:cs="Arial"/>
        </w:rPr>
        <w:t>(MTSU, n.d.)</w:t>
      </w:r>
    </w:p>
    <w:p w:rsidR="001C0D62" w:rsidRDefault="001C0D62"/>
    <w:p w:rsidR="001C0D62" w:rsidRDefault="001C0D62">
      <w:pPr>
        <w:autoSpaceDE w:val="0"/>
        <w:autoSpaceDN w:val="0"/>
        <w:adjustRightInd w:val="0"/>
        <w:rPr>
          <w:rFonts w:ascii="Arial" w:hAnsi="Arial" w:cs="Arial"/>
          <w:b/>
          <w:bCs/>
          <w:szCs w:val="28"/>
          <w:u w:val="single"/>
        </w:rPr>
      </w:pPr>
      <w:r>
        <w:rPr>
          <w:rFonts w:ascii="Arial" w:hAnsi="Arial" w:cs="Arial"/>
          <w:b/>
          <w:bCs/>
          <w:szCs w:val="28"/>
          <w:u w:val="single"/>
        </w:rPr>
        <w:t>Table 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48"/>
        <w:gridCol w:w="1800"/>
        <w:gridCol w:w="1260"/>
        <w:gridCol w:w="1260"/>
        <w:gridCol w:w="1080"/>
        <w:gridCol w:w="1440"/>
        <w:gridCol w:w="1260"/>
      </w:tblGrid>
      <w:tr w:rsidR="001C0D62">
        <w:tblPrEx>
          <w:tblCellMar>
            <w:top w:w="0" w:type="dxa"/>
            <w:bottom w:w="0" w:type="dxa"/>
          </w:tblCellMar>
        </w:tblPrEx>
        <w:trPr>
          <w:cantSplit/>
        </w:trPr>
        <w:tc>
          <w:tcPr>
            <w:tcW w:w="648" w:type="dxa"/>
            <w:vMerge w:val="restart"/>
          </w:tcPr>
          <w:p w:rsidR="001C0D62" w:rsidRDefault="001C0D62">
            <w:pPr>
              <w:autoSpaceDE w:val="0"/>
              <w:autoSpaceDN w:val="0"/>
              <w:adjustRightInd w:val="0"/>
              <w:rPr>
                <w:rFonts w:ascii="Arial" w:hAnsi="Arial" w:cs="Arial"/>
              </w:rPr>
            </w:pPr>
          </w:p>
          <w:p w:rsidR="001C0D62" w:rsidRDefault="001C0D62">
            <w:pPr>
              <w:autoSpaceDE w:val="0"/>
              <w:autoSpaceDN w:val="0"/>
              <w:adjustRightInd w:val="0"/>
              <w:rPr>
                <w:rFonts w:ascii="Arial" w:hAnsi="Arial" w:cs="Arial"/>
              </w:rPr>
            </w:pPr>
          </w:p>
          <w:p w:rsidR="001C0D62" w:rsidRDefault="001C0D62">
            <w:pPr>
              <w:autoSpaceDE w:val="0"/>
              <w:autoSpaceDN w:val="0"/>
              <w:adjustRightInd w:val="0"/>
              <w:rPr>
                <w:rFonts w:ascii="Arial" w:hAnsi="Arial" w:cs="Arial"/>
              </w:rPr>
            </w:pPr>
          </w:p>
          <w:p w:rsidR="001C0D62" w:rsidRDefault="001C0D62">
            <w:pPr>
              <w:autoSpaceDE w:val="0"/>
              <w:autoSpaceDN w:val="0"/>
              <w:adjustRightInd w:val="0"/>
              <w:rPr>
                <w:rFonts w:ascii="Arial" w:hAnsi="Arial" w:cs="Arial"/>
              </w:rPr>
            </w:pPr>
            <w:r>
              <w:rPr>
                <w:rFonts w:ascii="Arial" w:hAnsi="Arial" w:cs="Arial"/>
              </w:rPr>
              <w:t>DF</w:t>
            </w:r>
          </w:p>
        </w:tc>
        <w:tc>
          <w:tcPr>
            <w:tcW w:w="8100" w:type="dxa"/>
            <w:gridSpan w:val="6"/>
          </w:tcPr>
          <w:p w:rsidR="001C0D62" w:rsidRDefault="001C0D62">
            <w:pPr>
              <w:autoSpaceDE w:val="0"/>
              <w:autoSpaceDN w:val="0"/>
              <w:adjustRightInd w:val="0"/>
              <w:jc w:val="center"/>
              <w:rPr>
                <w:rFonts w:ascii="Arial" w:hAnsi="Arial" w:cs="Arial"/>
              </w:rPr>
            </w:pPr>
            <w:r>
              <w:rPr>
                <w:rFonts w:ascii="Arial" w:hAnsi="Arial" w:cs="Arial"/>
              </w:rPr>
              <w:t>Proportion in ONE Tail</w:t>
            </w:r>
          </w:p>
          <w:p w:rsidR="001C0D62" w:rsidRDefault="001C0D62">
            <w:pPr>
              <w:autoSpaceDE w:val="0"/>
              <w:autoSpaceDN w:val="0"/>
              <w:adjustRightInd w:val="0"/>
              <w:rPr>
                <w:rFonts w:ascii="Arial" w:hAnsi="Arial" w:cs="Arial"/>
              </w:rPr>
            </w:pPr>
            <w:r>
              <w:rPr>
                <w:rFonts w:ascii="Arial" w:hAnsi="Arial" w:cs="Arial"/>
              </w:rPr>
              <w:t xml:space="preserve">                0.25            0.10           0.05           0.025          0.01            0.005</w:t>
            </w:r>
          </w:p>
        </w:tc>
      </w:tr>
      <w:tr w:rsidR="001C0D62">
        <w:tblPrEx>
          <w:tblCellMar>
            <w:top w:w="0" w:type="dxa"/>
            <w:bottom w:w="0" w:type="dxa"/>
          </w:tblCellMar>
        </w:tblPrEx>
        <w:trPr>
          <w:cantSplit/>
        </w:trPr>
        <w:tc>
          <w:tcPr>
            <w:tcW w:w="648" w:type="dxa"/>
            <w:vMerge/>
          </w:tcPr>
          <w:p w:rsidR="001C0D62" w:rsidRDefault="001C0D62">
            <w:pPr>
              <w:autoSpaceDE w:val="0"/>
              <w:autoSpaceDN w:val="0"/>
              <w:adjustRightInd w:val="0"/>
              <w:rPr>
                <w:rFonts w:ascii="Arial" w:hAnsi="Arial" w:cs="Arial"/>
              </w:rPr>
            </w:pPr>
          </w:p>
        </w:tc>
        <w:tc>
          <w:tcPr>
            <w:tcW w:w="8100" w:type="dxa"/>
            <w:gridSpan w:val="6"/>
          </w:tcPr>
          <w:p w:rsidR="001C0D62" w:rsidRDefault="001C0D62">
            <w:pPr>
              <w:tabs>
                <w:tab w:val="center" w:pos="4266"/>
                <w:tab w:val="left" w:pos="5900"/>
              </w:tabs>
              <w:autoSpaceDE w:val="0"/>
              <w:autoSpaceDN w:val="0"/>
              <w:adjustRightInd w:val="0"/>
              <w:rPr>
                <w:rFonts w:ascii="Arial" w:hAnsi="Arial" w:cs="Arial"/>
              </w:rPr>
            </w:pPr>
            <w:r>
              <w:rPr>
                <w:rFonts w:ascii="Arial" w:hAnsi="Arial" w:cs="Arial"/>
              </w:rPr>
              <w:tab/>
              <w:t>Proportion in TWO Tail</w:t>
            </w:r>
            <w:r>
              <w:rPr>
                <w:rFonts w:ascii="Arial" w:hAnsi="Arial" w:cs="Arial"/>
              </w:rPr>
              <w:tab/>
            </w:r>
          </w:p>
          <w:p w:rsidR="001C0D62" w:rsidRDefault="001C0D62">
            <w:pPr>
              <w:autoSpaceDE w:val="0"/>
              <w:autoSpaceDN w:val="0"/>
              <w:adjustRightInd w:val="0"/>
              <w:rPr>
                <w:rFonts w:ascii="Arial" w:hAnsi="Arial" w:cs="Arial"/>
              </w:rPr>
            </w:pPr>
            <w:r>
              <w:rPr>
                <w:rFonts w:ascii="Arial" w:hAnsi="Arial" w:cs="Arial"/>
              </w:rPr>
              <w:t xml:space="preserve">             0.50               0.20           0.10            0.05           0.02              0.01</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1</w:t>
            </w:r>
          </w:p>
        </w:tc>
        <w:tc>
          <w:tcPr>
            <w:tcW w:w="1800" w:type="dxa"/>
          </w:tcPr>
          <w:p w:rsidR="001C0D62" w:rsidRDefault="001C0D62">
            <w:pPr>
              <w:rPr>
                <w:rFonts w:ascii="Arial" w:hAnsi="Arial" w:cs="Arial"/>
              </w:rPr>
            </w:pPr>
            <w:r>
              <w:rPr>
                <w:rFonts w:ascii="Arial" w:hAnsi="Arial" w:cs="Arial"/>
              </w:rPr>
              <w:t>.7071</w:t>
            </w:r>
          </w:p>
        </w:tc>
        <w:tc>
          <w:tcPr>
            <w:tcW w:w="1260" w:type="dxa"/>
          </w:tcPr>
          <w:p w:rsidR="001C0D62" w:rsidRDefault="001C0D62">
            <w:pPr>
              <w:rPr>
                <w:rFonts w:ascii="Arial" w:hAnsi="Arial" w:cs="Arial"/>
              </w:rPr>
            </w:pPr>
            <w:r>
              <w:rPr>
                <w:rFonts w:ascii="Arial" w:hAnsi="Arial" w:cs="Arial"/>
              </w:rPr>
              <w:t>.9511</w:t>
            </w:r>
          </w:p>
        </w:tc>
        <w:tc>
          <w:tcPr>
            <w:tcW w:w="1260" w:type="dxa"/>
          </w:tcPr>
          <w:p w:rsidR="001C0D62" w:rsidRDefault="001C0D62">
            <w:pPr>
              <w:rPr>
                <w:rFonts w:ascii="Arial" w:hAnsi="Arial" w:cs="Arial"/>
              </w:rPr>
            </w:pPr>
            <w:r>
              <w:rPr>
                <w:rFonts w:ascii="Arial" w:hAnsi="Arial" w:cs="Arial"/>
              </w:rPr>
              <w:t>.9877</w:t>
            </w:r>
          </w:p>
        </w:tc>
        <w:tc>
          <w:tcPr>
            <w:tcW w:w="1080" w:type="dxa"/>
          </w:tcPr>
          <w:p w:rsidR="001C0D62" w:rsidRDefault="001C0D62">
            <w:pPr>
              <w:rPr>
                <w:rFonts w:ascii="Arial" w:hAnsi="Arial" w:cs="Arial"/>
              </w:rPr>
            </w:pPr>
            <w:r>
              <w:rPr>
                <w:rFonts w:ascii="Arial" w:hAnsi="Arial" w:cs="Arial"/>
              </w:rPr>
              <w:t>.9969</w:t>
            </w:r>
          </w:p>
        </w:tc>
        <w:tc>
          <w:tcPr>
            <w:tcW w:w="1440" w:type="dxa"/>
          </w:tcPr>
          <w:p w:rsidR="001C0D62" w:rsidRDefault="001C0D62">
            <w:pPr>
              <w:rPr>
                <w:rFonts w:ascii="Arial" w:hAnsi="Arial" w:cs="Arial"/>
              </w:rPr>
            </w:pPr>
            <w:r>
              <w:rPr>
                <w:rFonts w:ascii="Arial" w:hAnsi="Arial" w:cs="Arial"/>
              </w:rPr>
              <w:t>.9995</w:t>
            </w:r>
          </w:p>
        </w:tc>
        <w:tc>
          <w:tcPr>
            <w:tcW w:w="1260" w:type="dxa"/>
          </w:tcPr>
          <w:p w:rsidR="001C0D62" w:rsidRDefault="001C0D62">
            <w:pPr>
              <w:rPr>
                <w:rFonts w:ascii="Arial" w:hAnsi="Arial" w:cs="Arial"/>
              </w:rPr>
            </w:pPr>
            <w:r>
              <w:rPr>
                <w:rFonts w:ascii="Arial" w:hAnsi="Arial" w:cs="Arial"/>
              </w:rPr>
              <w:t>.9999</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2</w:t>
            </w:r>
          </w:p>
        </w:tc>
        <w:tc>
          <w:tcPr>
            <w:tcW w:w="1800" w:type="dxa"/>
          </w:tcPr>
          <w:p w:rsidR="001C0D62" w:rsidRDefault="001C0D62">
            <w:pPr>
              <w:autoSpaceDE w:val="0"/>
              <w:autoSpaceDN w:val="0"/>
              <w:adjustRightInd w:val="0"/>
              <w:rPr>
                <w:rFonts w:ascii="Arial" w:hAnsi="Arial" w:cs="Arial"/>
              </w:rPr>
            </w:pPr>
            <w:r>
              <w:rPr>
                <w:rFonts w:ascii="Arial" w:hAnsi="Arial" w:cs="Arial"/>
              </w:rPr>
              <w:t>.5000</w:t>
            </w:r>
          </w:p>
        </w:tc>
        <w:tc>
          <w:tcPr>
            <w:tcW w:w="1260" w:type="dxa"/>
          </w:tcPr>
          <w:p w:rsidR="001C0D62" w:rsidRDefault="001C0D62">
            <w:pPr>
              <w:autoSpaceDE w:val="0"/>
              <w:autoSpaceDN w:val="0"/>
              <w:adjustRightInd w:val="0"/>
              <w:rPr>
                <w:rFonts w:ascii="Arial" w:hAnsi="Arial" w:cs="Arial"/>
              </w:rPr>
            </w:pPr>
            <w:r>
              <w:rPr>
                <w:rFonts w:ascii="Arial" w:hAnsi="Arial" w:cs="Arial"/>
              </w:rPr>
              <w:t>.8000</w:t>
            </w:r>
          </w:p>
        </w:tc>
        <w:tc>
          <w:tcPr>
            <w:tcW w:w="1260" w:type="dxa"/>
          </w:tcPr>
          <w:p w:rsidR="001C0D62" w:rsidRDefault="001C0D62">
            <w:pPr>
              <w:autoSpaceDE w:val="0"/>
              <w:autoSpaceDN w:val="0"/>
              <w:adjustRightInd w:val="0"/>
              <w:rPr>
                <w:rFonts w:ascii="Arial" w:hAnsi="Arial" w:cs="Arial"/>
              </w:rPr>
            </w:pPr>
            <w:r>
              <w:rPr>
                <w:rFonts w:ascii="Arial" w:hAnsi="Arial" w:cs="Arial"/>
              </w:rPr>
              <w:t>.9000</w:t>
            </w:r>
          </w:p>
        </w:tc>
        <w:tc>
          <w:tcPr>
            <w:tcW w:w="1080" w:type="dxa"/>
          </w:tcPr>
          <w:p w:rsidR="001C0D62" w:rsidRDefault="001C0D62">
            <w:pPr>
              <w:autoSpaceDE w:val="0"/>
              <w:autoSpaceDN w:val="0"/>
              <w:adjustRightInd w:val="0"/>
              <w:rPr>
                <w:rFonts w:ascii="Arial" w:hAnsi="Arial" w:cs="Arial"/>
              </w:rPr>
            </w:pPr>
            <w:r>
              <w:rPr>
                <w:rFonts w:ascii="Arial" w:hAnsi="Arial" w:cs="Arial"/>
              </w:rPr>
              <w:t>.9500</w:t>
            </w:r>
          </w:p>
        </w:tc>
        <w:tc>
          <w:tcPr>
            <w:tcW w:w="1440" w:type="dxa"/>
          </w:tcPr>
          <w:p w:rsidR="001C0D62" w:rsidRDefault="001C0D62">
            <w:pPr>
              <w:autoSpaceDE w:val="0"/>
              <w:autoSpaceDN w:val="0"/>
              <w:adjustRightInd w:val="0"/>
              <w:rPr>
                <w:rFonts w:ascii="Arial" w:hAnsi="Arial" w:cs="Arial"/>
              </w:rPr>
            </w:pPr>
            <w:r>
              <w:rPr>
                <w:rFonts w:ascii="Arial" w:hAnsi="Arial" w:cs="Arial"/>
              </w:rPr>
              <w:t>.9800</w:t>
            </w:r>
          </w:p>
        </w:tc>
        <w:tc>
          <w:tcPr>
            <w:tcW w:w="1260" w:type="dxa"/>
          </w:tcPr>
          <w:p w:rsidR="001C0D62" w:rsidRDefault="001C0D62">
            <w:pPr>
              <w:autoSpaceDE w:val="0"/>
              <w:autoSpaceDN w:val="0"/>
              <w:adjustRightInd w:val="0"/>
              <w:rPr>
                <w:rFonts w:ascii="Arial" w:hAnsi="Arial" w:cs="Arial"/>
              </w:rPr>
            </w:pPr>
            <w:r>
              <w:rPr>
                <w:rFonts w:ascii="Arial" w:hAnsi="Arial" w:cs="Arial"/>
              </w:rPr>
              <w:t>.9900</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3</w:t>
            </w:r>
          </w:p>
        </w:tc>
        <w:tc>
          <w:tcPr>
            <w:tcW w:w="1800" w:type="dxa"/>
          </w:tcPr>
          <w:p w:rsidR="001C0D62" w:rsidRDefault="001C0D62">
            <w:pPr>
              <w:autoSpaceDE w:val="0"/>
              <w:autoSpaceDN w:val="0"/>
              <w:adjustRightInd w:val="0"/>
              <w:rPr>
                <w:rFonts w:ascii="Arial" w:hAnsi="Arial" w:cs="Arial"/>
              </w:rPr>
            </w:pPr>
            <w:r>
              <w:rPr>
                <w:rFonts w:ascii="Arial" w:hAnsi="Arial" w:cs="Arial"/>
              </w:rPr>
              <w:t>.4040</w:t>
            </w:r>
          </w:p>
        </w:tc>
        <w:tc>
          <w:tcPr>
            <w:tcW w:w="1260" w:type="dxa"/>
          </w:tcPr>
          <w:p w:rsidR="001C0D62" w:rsidRDefault="001C0D62">
            <w:pPr>
              <w:autoSpaceDE w:val="0"/>
              <w:autoSpaceDN w:val="0"/>
              <w:adjustRightInd w:val="0"/>
              <w:rPr>
                <w:rFonts w:ascii="Arial" w:hAnsi="Arial" w:cs="Arial"/>
              </w:rPr>
            </w:pPr>
            <w:r>
              <w:rPr>
                <w:rFonts w:ascii="Arial" w:hAnsi="Arial" w:cs="Arial"/>
              </w:rPr>
              <w:t>.6870</w:t>
            </w:r>
          </w:p>
        </w:tc>
        <w:tc>
          <w:tcPr>
            <w:tcW w:w="1260" w:type="dxa"/>
          </w:tcPr>
          <w:p w:rsidR="001C0D62" w:rsidRDefault="001C0D62">
            <w:pPr>
              <w:autoSpaceDE w:val="0"/>
              <w:autoSpaceDN w:val="0"/>
              <w:adjustRightInd w:val="0"/>
              <w:rPr>
                <w:rFonts w:ascii="Arial" w:hAnsi="Arial" w:cs="Arial"/>
              </w:rPr>
            </w:pPr>
            <w:r>
              <w:rPr>
                <w:rFonts w:ascii="Arial" w:hAnsi="Arial" w:cs="Arial"/>
              </w:rPr>
              <w:t>.8054</w:t>
            </w:r>
          </w:p>
        </w:tc>
        <w:tc>
          <w:tcPr>
            <w:tcW w:w="1080" w:type="dxa"/>
          </w:tcPr>
          <w:p w:rsidR="001C0D62" w:rsidRDefault="001C0D62">
            <w:pPr>
              <w:autoSpaceDE w:val="0"/>
              <w:autoSpaceDN w:val="0"/>
              <w:adjustRightInd w:val="0"/>
              <w:rPr>
                <w:rFonts w:ascii="Arial" w:hAnsi="Arial" w:cs="Arial"/>
              </w:rPr>
            </w:pPr>
            <w:r>
              <w:rPr>
                <w:rFonts w:ascii="Arial" w:hAnsi="Arial" w:cs="Arial"/>
              </w:rPr>
              <w:t>.8783</w:t>
            </w:r>
          </w:p>
        </w:tc>
        <w:tc>
          <w:tcPr>
            <w:tcW w:w="1440" w:type="dxa"/>
          </w:tcPr>
          <w:p w:rsidR="001C0D62" w:rsidRDefault="001C0D62">
            <w:pPr>
              <w:autoSpaceDE w:val="0"/>
              <w:autoSpaceDN w:val="0"/>
              <w:adjustRightInd w:val="0"/>
              <w:rPr>
                <w:rFonts w:ascii="Arial" w:hAnsi="Arial" w:cs="Arial"/>
              </w:rPr>
            </w:pPr>
            <w:r>
              <w:rPr>
                <w:rFonts w:ascii="Arial" w:hAnsi="Arial" w:cs="Arial"/>
              </w:rPr>
              <w:t>.9343</w:t>
            </w:r>
          </w:p>
        </w:tc>
        <w:tc>
          <w:tcPr>
            <w:tcW w:w="1260" w:type="dxa"/>
          </w:tcPr>
          <w:p w:rsidR="001C0D62" w:rsidRDefault="001C0D62">
            <w:pPr>
              <w:autoSpaceDE w:val="0"/>
              <w:autoSpaceDN w:val="0"/>
              <w:adjustRightInd w:val="0"/>
              <w:rPr>
                <w:rFonts w:ascii="Arial" w:hAnsi="Arial" w:cs="Arial"/>
              </w:rPr>
            </w:pPr>
            <w:r>
              <w:rPr>
                <w:rFonts w:ascii="Arial" w:hAnsi="Arial" w:cs="Arial"/>
              </w:rPr>
              <w:t>.9587</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4</w:t>
            </w:r>
          </w:p>
        </w:tc>
        <w:tc>
          <w:tcPr>
            <w:tcW w:w="1800" w:type="dxa"/>
          </w:tcPr>
          <w:p w:rsidR="001C0D62" w:rsidRDefault="001C0D62">
            <w:pPr>
              <w:autoSpaceDE w:val="0"/>
              <w:autoSpaceDN w:val="0"/>
              <w:adjustRightInd w:val="0"/>
              <w:rPr>
                <w:rFonts w:ascii="Arial" w:hAnsi="Arial" w:cs="Arial"/>
              </w:rPr>
            </w:pPr>
            <w:r>
              <w:rPr>
                <w:rFonts w:ascii="Arial" w:hAnsi="Arial" w:cs="Arial"/>
              </w:rPr>
              <w:t>.3473</w:t>
            </w:r>
          </w:p>
        </w:tc>
        <w:tc>
          <w:tcPr>
            <w:tcW w:w="1260" w:type="dxa"/>
          </w:tcPr>
          <w:p w:rsidR="001C0D62" w:rsidRDefault="001C0D62">
            <w:pPr>
              <w:autoSpaceDE w:val="0"/>
              <w:autoSpaceDN w:val="0"/>
              <w:adjustRightInd w:val="0"/>
              <w:rPr>
                <w:rFonts w:ascii="Arial" w:hAnsi="Arial" w:cs="Arial"/>
              </w:rPr>
            </w:pPr>
            <w:r>
              <w:rPr>
                <w:rFonts w:ascii="Arial" w:hAnsi="Arial" w:cs="Arial"/>
              </w:rPr>
              <w:t>.6084</w:t>
            </w:r>
          </w:p>
        </w:tc>
        <w:tc>
          <w:tcPr>
            <w:tcW w:w="1260" w:type="dxa"/>
          </w:tcPr>
          <w:p w:rsidR="001C0D62" w:rsidRDefault="001C0D62">
            <w:pPr>
              <w:autoSpaceDE w:val="0"/>
              <w:autoSpaceDN w:val="0"/>
              <w:adjustRightInd w:val="0"/>
              <w:rPr>
                <w:rFonts w:ascii="Arial" w:hAnsi="Arial" w:cs="Arial"/>
              </w:rPr>
            </w:pPr>
            <w:r>
              <w:rPr>
                <w:rFonts w:ascii="Arial" w:hAnsi="Arial" w:cs="Arial"/>
              </w:rPr>
              <w:t>.7293</w:t>
            </w:r>
          </w:p>
        </w:tc>
        <w:tc>
          <w:tcPr>
            <w:tcW w:w="1080" w:type="dxa"/>
          </w:tcPr>
          <w:p w:rsidR="001C0D62" w:rsidRDefault="001C0D62">
            <w:pPr>
              <w:autoSpaceDE w:val="0"/>
              <w:autoSpaceDN w:val="0"/>
              <w:adjustRightInd w:val="0"/>
              <w:rPr>
                <w:rFonts w:ascii="Arial" w:hAnsi="Arial" w:cs="Arial"/>
              </w:rPr>
            </w:pPr>
            <w:r>
              <w:rPr>
                <w:rFonts w:ascii="Arial" w:hAnsi="Arial" w:cs="Arial"/>
              </w:rPr>
              <w:t>.8114</w:t>
            </w:r>
          </w:p>
        </w:tc>
        <w:tc>
          <w:tcPr>
            <w:tcW w:w="1440" w:type="dxa"/>
          </w:tcPr>
          <w:p w:rsidR="001C0D62" w:rsidRDefault="001C0D62">
            <w:pPr>
              <w:autoSpaceDE w:val="0"/>
              <w:autoSpaceDN w:val="0"/>
              <w:adjustRightInd w:val="0"/>
              <w:rPr>
                <w:rFonts w:ascii="Arial" w:hAnsi="Arial" w:cs="Arial"/>
              </w:rPr>
            </w:pPr>
            <w:r>
              <w:rPr>
                <w:rFonts w:ascii="Arial" w:hAnsi="Arial" w:cs="Arial"/>
              </w:rPr>
              <w:t>.8822</w:t>
            </w:r>
          </w:p>
        </w:tc>
        <w:tc>
          <w:tcPr>
            <w:tcW w:w="1260" w:type="dxa"/>
          </w:tcPr>
          <w:p w:rsidR="001C0D62" w:rsidRDefault="001C0D62">
            <w:pPr>
              <w:autoSpaceDE w:val="0"/>
              <w:autoSpaceDN w:val="0"/>
              <w:adjustRightInd w:val="0"/>
              <w:rPr>
                <w:rFonts w:ascii="Arial" w:hAnsi="Arial" w:cs="Arial"/>
              </w:rPr>
            </w:pPr>
            <w:r>
              <w:rPr>
                <w:rFonts w:ascii="Arial" w:hAnsi="Arial" w:cs="Arial"/>
              </w:rPr>
              <w:t>.9172</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5</w:t>
            </w:r>
          </w:p>
        </w:tc>
        <w:tc>
          <w:tcPr>
            <w:tcW w:w="1800" w:type="dxa"/>
          </w:tcPr>
          <w:p w:rsidR="001C0D62" w:rsidRDefault="001C0D62">
            <w:pPr>
              <w:autoSpaceDE w:val="0"/>
              <w:autoSpaceDN w:val="0"/>
              <w:adjustRightInd w:val="0"/>
              <w:rPr>
                <w:rFonts w:ascii="Arial" w:hAnsi="Arial" w:cs="Arial"/>
              </w:rPr>
            </w:pPr>
            <w:r>
              <w:rPr>
                <w:rFonts w:ascii="Arial" w:hAnsi="Arial" w:cs="Arial"/>
              </w:rPr>
              <w:t>.3091</w:t>
            </w:r>
          </w:p>
        </w:tc>
        <w:tc>
          <w:tcPr>
            <w:tcW w:w="1260" w:type="dxa"/>
          </w:tcPr>
          <w:p w:rsidR="001C0D62" w:rsidRDefault="001C0D62">
            <w:pPr>
              <w:autoSpaceDE w:val="0"/>
              <w:autoSpaceDN w:val="0"/>
              <w:adjustRightInd w:val="0"/>
              <w:rPr>
                <w:rFonts w:ascii="Arial" w:hAnsi="Arial" w:cs="Arial"/>
              </w:rPr>
            </w:pPr>
            <w:r>
              <w:rPr>
                <w:rFonts w:ascii="Arial" w:hAnsi="Arial" w:cs="Arial"/>
              </w:rPr>
              <w:t>.5509</w:t>
            </w:r>
          </w:p>
        </w:tc>
        <w:tc>
          <w:tcPr>
            <w:tcW w:w="1260" w:type="dxa"/>
          </w:tcPr>
          <w:p w:rsidR="001C0D62" w:rsidRDefault="001C0D62">
            <w:pPr>
              <w:autoSpaceDE w:val="0"/>
              <w:autoSpaceDN w:val="0"/>
              <w:adjustRightInd w:val="0"/>
              <w:rPr>
                <w:rFonts w:ascii="Arial" w:hAnsi="Arial" w:cs="Arial"/>
              </w:rPr>
            </w:pPr>
            <w:r>
              <w:rPr>
                <w:rFonts w:ascii="Arial" w:hAnsi="Arial" w:cs="Arial"/>
              </w:rPr>
              <w:t>.6694</w:t>
            </w:r>
          </w:p>
        </w:tc>
        <w:tc>
          <w:tcPr>
            <w:tcW w:w="1080" w:type="dxa"/>
          </w:tcPr>
          <w:p w:rsidR="001C0D62" w:rsidRDefault="001C0D62">
            <w:pPr>
              <w:autoSpaceDE w:val="0"/>
              <w:autoSpaceDN w:val="0"/>
              <w:adjustRightInd w:val="0"/>
              <w:rPr>
                <w:rFonts w:ascii="Arial" w:hAnsi="Arial" w:cs="Arial"/>
              </w:rPr>
            </w:pPr>
            <w:r>
              <w:rPr>
                <w:rFonts w:ascii="Arial" w:hAnsi="Arial" w:cs="Arial"/>
              </w:rPr>
              <w:t>.7545</w:t>
            </w:r>
          </w:p>
        </w:tc>
        <w:tc>
          <w:tcPr>
            <w:tcW w:w="1440" w:type="dxa"/>
          </w:tcPr>
          <w:p w:rsidR="001C0D62" w:rsidRDefault="001C0D62">
            <w:pPr>
              <w:autoSpaceDE w:val="0"/>
              <w:autoSpaceDN w:val="0"/>
              <w:adjustRightInd w:val="0"/>
              <w:rPr>
                <w:rFonts w:ascii="Arial" w:hAnsi="Arial" w:cs="Arial"/>
              </w:rPr>
            </w:pPr>
            <w:r>
              <w:rPr>
                <w:rFonts w:ascii="Arial" w:hAnsi="Arial" w:cs="Arial"/>
              </w:rPr>
              <w:t>.8329</w:t>
            </w:r>
          </w:p>
        </w:tc>
        <w:tc>
          <w:tcPr>
            <w:tcW w:w="1260" w:type="dxa"/>
          </w:tcPr>
          <w:p w:rsidR="001C0D62" w:rsidRDefault="001C0D62">
            <w:pPr>
              <w:autoSpaceDE w:val="0"/>
              <w:autoSpaceDN w:val="0"/>
              <w:adjustRightInd w:val="0"/>
              <w:rPr>
                <w:rFonts w:ascii="Arial" w:hAnsi="Arial" w:cs="Arial"/>
              </w:rPr>
            </w:pPr>
            <w:r>
              <w:rPr>
                <w:rFonts w:ascii="Arial" w:hAnsi="Arial" w:cs="Arial"/>
              </w:rPr>
              <w:t>.8745</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6</w:t>
            </w:r>
          </w:p>
        </w:tc>
        <w:tc>
          <w:tcPr>
            <w:tcW w:w="1800" w:type="dxa"/>
          </w:tcPr>
          <w:p w:rsidR="001C0D62" w:rsidRDefault="001C0D62">
            <w:pPr>
              <w:autoSpaceDE w:val="0"/>
              <w:autoSpaceDN w:val="0"/>
              <w:adjustRightInd w:val="0"/>
              <w:rPr>
                <w:rFonts w:ascii="Arial" w:hAnsi="Arial" w:cs="Arial"/>
              </w:rPr>
            </w:pPr>
            <w:r>
              <w:rPr>
                <w:rFonts w:ascii="Arial" w:hAnsi="Arial" w:cs="Arial"/>
              </w:rPr>
              <w:t>.2811</w:t>
            </w:r>
          </w:p>
        </w:tc>
        <w:tc>
          <w:tcPr>
            <w:tcW w:w="1260" w:type="dxa"/>
          </w:tcPr>
          <w:p w:rsidR="001C0D62" w:rsidRDefault="001C0D62">
            <w:pPr>
              <w:autoSpaceDE w:val="0"/>
              <w:autoSpaceDN w:val="0"/>
              <w:adjustRightInd w:val="0"/>
              <w:rPr>
                <w:rFonts w:ascii="Arial" w:hAnsi="Arial" w:cs="Arial"/>
              </w:rPr>
            </w:pPr>
            <w:r>
              <w:rPr>
                <w:rFonts w:ascii="Arial" w:hAnsi="Arial" w:cs="Arial"/>
              </w:rPr>
              <w:t>.5067</w:t>
            </w:r>
          </w:p>
        </w:tc>
        <w:tc>
          <w:tcPr>
            <w:tcW w:w="1260" w:type="dxa"/>
          </w:tcPr>
          <w:p w:rsidR="001C0D62" w:rsidRDefault="001C0D62">
            <w:pPr>
              <w:autoSpaceDE w:val="0"/>
              <w:autoSpaceDN w:val="0"/>
              <w:adjustRightInd w:val="0"/>
              <w:rPr>
                <w:rFonts w:ascii="Arial" w:hAnsi="Arial" w:cs="Arial"/>
              </w:rPr>
            </w:pPr>
            <w:r>
              <w:rPr>
                <w:rFonts w:ascii="Arial" w:hAnsi="Arial" w:cs="Arial"/>
              </w:rPr>
              <w:t>.6215</w:t>
            </w:r>
          </w:p>
        </w:tc>
        <w:tc>
          <w:tcPr>
            <w:tcW w:w="1080" w:type="dxa"/>
          </w:tcPr>
          <w:p w:rsidR="001C0D62" w:rsidRDefault="001C0D62">
            <w:pPr>
              <w:autoSpaceDE w:val="0"/>
              <w:autoSpaceDN w:val="0"/>
              <w:adjustRightInd w:val="0"/>
              <w:rPr>
                <w:rFonts w:ascii="Arial" w:hAnsi="Arial" w:cs="Arial"/>
              </w:rPr>
            </w:pPr>
            <w:r>
              <w:rPr>
                <w:rFonts w:ascii="Arial" w:hAnsi="Arial" w:cs="Arial"/>
              </w:rPr>
              <w:t>.7067</w:t>
            </w:r>
          </w:p>
        </w:tc>
        <w:tc>
          <w:tcPr>
            <w:tcW w:w="1440" w:type="dxa"/>
          </w:tcPr>
          <w:p w:rsidR="001C0D62" w:rsidRDefault="001C0D62">
            <w:pPr>
              <w:autoSpaceDE w:val="0"/>
              <w:autoSpaceDN w:val="0"/>
              <w:adjustRightInd w:val="0"/>
              <w:rPr>
                <w:rFonts w:ascii="Arial" w:hAnsi="Arial" w:cs="Arial"/>
              </w:rPr>
            </w:pPr>
            <w:r>
              <w:rPr>
                <w:rFonts w:ascii="Arial" w:hAnsi="Arial" w:cs="Arial"/>
              </w:rPr>
              <w:t>.7887</w:t>
            </w:r>
          </w:p>
        </w:tc>
        <w:tc>
          <w:tcPr>
            <w:tcW w:w="1260" w:type="dxa"/>
          </w:tcPr>
          <w:p w:rsidR="001C0D62" w:rsidRDefault="001C0D62">
            <w:pPr>
              <w:autoSpaceDE w:val="0"/>
              <w:autoSpaceDN w:val="0"/>
              <w:adjustRightInd w:val="0"/>
              <w:rPr>
                <w:rFonts w:ascii="Arial" w:hAnsi="Arial" w:cs="Arial"/>
              </w:rPr>
            </w:pPr>
            <w:r>
              <w:rPr>
                <w:rFonts w:ascii="Arial" w:hAnsi="Arial" w:cs="Arial"/>
              </w:rPr>
              <w:t>.8343</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7</w:t>
            </w:r>
          </w:p>
        </w:tc>
        <w:tc>
          <w:tcPr>
            <w:tcW w:w="1800" w:type="dxa"/>
          </w:tcPr>
          <w:p w:rsidR="001C0D62" w:rsidRDefault="001C0D62">
            <w:pPr>
              <w:autoSpaceDE w:val="0"/>
              <w:autoSpaceDN w:val="0"/>
              <w:adjustRightInd w:val="0"/>
              <w:rPr>
                <w:rFonts w:ascii="Arial" w:hAnsi="Arial" w:cs="Arial"/>
              </w:rPr>
            </w:pPr>
            <w:r>
              <w:rPr>
                <w:rFonts w:ascii="Arial" w:hAnsi="Arial" w:cs="Arial"/>
              </w:rPr>
              <w:t>.2596</w:t>
            </w:r>
          </w:p>
        </w:tc>
        <w:tc>
          <w:tcPr>
            <w:tcW w:w="1260" w:type="dxa"/>
          </w:tcPr>
          <w:p w:rsidR="001C0D62" w:rsidRDefault="001C0D62">
            <w:pPr>
              <w:autoSpaceDE w:val="0"/>
              <w:autoSpaceDN w:val="0"/>
              <w:adjustRightInd w:val="0"/>
              <w:rPr>
                <w:rFonts w:ascii="Arial" w:hAnsi="Arial" w:cs="Arial"/>
              </w:rPr>
            </w:pPr>
            <w:r>
              <w:rPr>
                <w:rFonts w:ascii="Arial" w:hAnsi="Arial" w:cs="Arial"/>
              </w:rPr>
              <w:t>.4716</w:t>
            </w:r>
          </w:p>
        </w:tc>
        <w:tc>
          <w:tcPr>
            <w:tcW w:w="1260" w:type="dxa"/>
          </w:tcPr>
          <w:p w:rsidR="001C0D62" w:rsidRDefault="001C0D62">
            <w:pPr>
              <w:autoSpaceDE w:val="0"/>
              <w:autoSpaceDN w:val="0"/>
              <w:adjustRightInd w:val="0"/>
              <w:rPr>
                <w:rFonts w:ascii="Arial" w:hAnsi="Arial" w:cs="Arial"/>
              </w:rPr>
            </w:pPr>
            <w:r>
              <w:rPr>
                <w:rFonts w:ascii="Arial" w:hAnsi="Arial" w:cs="Arial"/>
              </w:rPr>
              <w:t>.5822</w:t>
            </w:r>
          </w:p>
        </w:tc>
        <w:tc>
          <w:tcPr>
            <w:tcW w:w="1080" w:type="dxa"/>
          </w:tcPr>
          <w:p w:rsidR="001C0D62" w:rsidRDefault="001C0D62">
            <w:pPr>
              <w:autoSpaceDE w:val="0"/>
              <w:autoSpaceDN w:val="0"/>
              <w:adjustRightInd w:val="0"/>
              <w:rPr>
                <w:rFonts w:ascii="Arial" w:hAnsi="Arial" w:cs="Arial"/>
              </w:rPr>
            </w:pPr>
            <w:r>
              <w:rPr>
                <w:rFonts w:ascii="Arial" w:hAnsi="Arial" w:cs="Arial"/>
              </w:rPr>
              <w:t>.6664</w:t>
            </w:r>
          </w:p>
        </w:tc>
        <w:tc>
          <w:tcPr>
            <w:tcW w:w="1440" w:type="dxa"/>
          </w:tcPr>
          <w:p w:rsidR="001C0D62" w:rsidRDefault="001C0D62">
            <w:pPr>
              <w:autoSpaceDE w:val="0"/>
              <w:autoSpaceDN w:val="0"/>
              <w:adjustRightInd w:val="0"/>
              <w:rPr>
                <w:rFonts w:ascii="Arial" w:hAnsi="Arial" w:cs="Arial"/>
              </w:rPr>
            </w:pPr>
            <w:r>
              <w:rPr>
                <w:rFonts w:ascii="Arial" w:hAnsi="Arial" w:cs="Arial"/>
              </w:rPr>
              <w:t>.7498</w:t>
            </w:r>
          </w:p>
        </w:tc>
        <w:tc>
          <w:tcPr>
            <w:tcW w:w="1260" w:type="dxa"/>
          </w:tcPr>
          <w:p w:rsidR="001C0D62" w:rsidRDefault="001C0D62">
            <w:pPr>
              <w:autoSpaceDE w:val="0"/>
              <w:autoSpaceDN w:val="0"/>
              <w:adjustRightInd w:val="0"/>
              <w:rPr>
                <w:rFonts w:ascii="Arial" w:hAnsi="Arial" w:cs="Arial"/>
              </w:rPr>
            </w:pPr>
            <w:r>
              <w:rPr>
                <w:rFonts w:ascii="Arial" w:hAnsi="Arial" w:cs="Arial"/>
              </w:rPr>
              <w:t>.7977</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8</w:t>
            </w:r>
          </w:p>
        </w:tc>
        <w:tc>
          <w:tcPr>
            <w:tcW w:w="1800" w:type="dxa"/>
          </w:tcPr>
          <w:p w:rsidR="001C0D62" w:rsidRDefault="001C0D62">
            <w:pPr>
              <w:autoSpaceDE w:val="0"/>
              <w:autoSpaceDN w:val="0"/>
              <w:adjustRightInd w:val="0"/>
              <w:rPr>
                <w:rFonts w:ascii="Arial" w:hAnsi="Arial" w:cs="Arial"/>
              </w:rPr>
            </w:pPr>
            <w:r>
              <w:rPr>
                <w:rFonts w:ascii="Arial" w:hAnsi="Arial" w:cs="Arial"/>
              </w:rPr>
              <w:t>.2423</w:t>
            </w:r>
          </w:p>
        </w:tc>
        <w:tc>
          <w:tcPr>
            <w:tcW w:w="1260" w:type="dxa"/>
          </w:tcPr>
          <w:p w:rsidR="001C0D62" w:rsidRDefault="001C0D62">
            <w:pPr>
              <w:autoSpaceDE w:val="0"/>
              <w:autoSpaceDN w:val="0"/>
              <w:adjustRightInd w:val="0"/>
              <w:rPr>
                <w:rFonts w:ascii="Arial" w:hAnsi="Arial" w:cs="Arial"/>
              </w:rPr>
            </w:pPr>
            <w:r>
              <w:rPr>
                <w:rFonts w:ascii="Arial" w:hAnsi="Arial" w:cs="Arial"/>
              </w:rPr>
              <w:t>.4428</w:t>
            </w:r>
          </w:p>
        </w:tc>
        <w:tc>
          <w:tcPr>
            <w:tcW w:w="1260" w:type="dxa"/>
          </w:tcPr>
          <w:p w:rsidR="001C0D62" w:rsidRDefault="001C0D62">
            <w:pPr>
              <w:autoSpaceDE w:val="0"/>
              <w:autoSpaceDN w:val="0"/>
              <w:adjustRightInd w:val="0"/>
              <w:rPr>
                <w:rFonts w:ascii="Arial" w:hAnsi="Arial" w:cs="Arial"/>
              </w:rPr>
            </w:pPr>
            <w:r>
              <w:rPr>
                <w:rFonts w:ascii="Arial" w:hAnsi="Arial" w:cs="Arial"/>
              </w:rPr>
              <w:t>.5494</w:t>
            </w:r>
          </w:p>
        </w:tc>
        <w:tc>
          <w:tcPr>
            <w:tcW w:w="1080" w:type="dxa"/>
          </w:tcPr>
          <w:p w:rsidR="001C0D62" w:rsidRDefault="001C0D62">
            <w:pPr>
              <w:autoSpaceDE w:val="0"/>
              <w:autoSpaceDN w:val="0"/>
              <w:adjustRightInd w:val="0"/>
              <w:rPr>
                <w:rFonts w:ascii="Arial" w:hAnsi="Arial" w:cs="Arial"/>
              </w:rPr>
            </w:pPr>
            <w:r>
              <w:rPr>
                <w:rFonts w:ascii="Arial" w:hAnsi="Arial" w:cs="Arial"/>
              </w:rPr>
              <w:t>.6319</w:t>
            </w:r>
          </w:p>
        </w:tc>
        <w:tc>
          <w:tcPr>
            <w:tcW w:w="1440" w:type="dxa"/>
          </w:tcPr>
          <w:p w:rsidR="001C0D62" w:rsidRDefault="001C0D62">
            <w:pPr>
              <w:autoSpaceDE w:val="0"/>
              <w:autoSpaceDN w:val="0"/>
              <w:adjustRightInd w:val="0"/>
              <w:rPr>
                <w:rFonts w:ascii="Arial" w:hAnsi="Arial" w:cs="Arial"/>
              </w:rPr>
            </w:pPr>
            <w:r>
              <w:rPr>
                <w:rFonts w:ascii="Arial" w:hAnsi="Arial" w:cs="Arial"/>
              </w:rPr>
              <w:t>.7155</w:t>
            </w:r>
          </w:p>
        </w:tc>
        <w:tc>
          <w:tcPr>
            <w:tcW w:w="1260" w:type="dxa"/>
          </w:tcPr>
          <w:p w:rsidR="001C0D62" w:rsidRDefault="001C0D62">
            <w:pPr>
              <w:autoSpaceDE w:val="0"/>
              <w:autoSpaceDN w:val="0"/>
              <w:adjustRightInd w:val="0"/>
              <w:rPr>
                <w:rFonts w:ascii="Arial" w:hAnsi="Arial" w:cs="Arial"/>
              </w:rPr>
            </w:pPr>
            <w:r>
              <w:rPr>
                <w:rFonts w:ascii="Arial" w:hAnsi="Arial" w:cs="Arial"/>
              </w:rPr>
              <w:t>.7646</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9</w:t>
            </w:r>
          </w:p>
        </w:tc>
        <w:tc>
          <w:tcPr>
            <w:tcW w:w="1800" w:type="dxa"/>
          </w:tcPr>
          <w:p w:rsidR="001C0D62" w:rsidRDefault="001C0D62">
            <w:pPr>
              <w:autoSpaceDE w:val="0"/>
              <w:autoSpaceDN w:val="0"/>
              <w:adjustRightInd w:val="0"/>
              <w:rPr>
                <w:rFonts w:ascii="Arial" w:hAnsi="Arial" w:cs="Arial"/>
              </w:rPr>
            </w:pPr>
            <w:r>
              <w:rPr>
                <w:rFonts w:ascii="Arial" w:hAnsi="Arial" w:cs="Arial"/>
              </w:rPr>
              <w:t>.2281</w:t>
            </w:r>
          </w:p>
        </w:tc>
        <w:tc>
          <w:tcPr>
            <w:tcW w:w="1260" w:type="dxa"/>
          </w:tcPr>
          <w:p w:rsidR="001C0D62" w:rsidRDefault="001C0D62">
            <w:pPr>
              <w:autoSpaceDE w:val="0"/>
              <w:autoSpaceDN w:val="0"/>
              <w:adjustRightInd w:val="0"/>
              <w:rPr>
                <w:rFonts w:ascii="Arial" w:hAnsi="Arial" w:cs="Arial"/>
              </w:rPr>
            </w:pPr>
            <w:r>
              <w:rPr>
                <w:rFonts w:ascii="Arial" w:hAnsi="Arial" w:cs="Arial"/>
              </w:rPr>
              <w:t>.4187</w:t>
            </w:r>
          </w:p>
        </w:tc>
        <w:tc>
          <w:tcPr>
            <w:tcW w:w="1260" w:type="dxa"/>
          </w:tcPr>
          <w:p w:rsidR="001C0D62" w:rsidRDefault="001C0D62">
            <w:pPr>
              <w:autoSpaceDE w:val="0"/>
              <w:autoSpaceDN w:val="0"/>
              <w:adjustRightInd w:val="0"/>
              <w:rPr>
                <w:rFonts w:ascii="Arial" w:hAnsi="Arial" w:cs="Arial"/>
              </w:rPr>
            </w:pPr>
            <w:r>
              <w:rPr>
                <w:rFonts w:ascii="Arial" w:hAnsi="Arial" w:cs="Arial"/>
              </w:rPr>
              <w:t>.5214</w:t>
            </w:r>
          </w:p>
        </w:tc>
        <w:tc>
          <w:tcPr>
            <w:tcW w:w="1080" w:type="dxa"/>
          </w:tcPr>
          <w:p w:rsidR="001C0D62" w:rsidRDefault="001C0D62">
            <w:pPr>
              <w:autoSpaceDE w:val="0"/>
              <w:autoSpaceDN w:val="0"/>
              <w:adjustRightInd w:val="0"/>
              <w:rPr>
                <w:rFonts w:ascii="Arial" w:hAnsi="Arial" w:cs="Arial"/>
              </w:rPr>
            </w:pPr>
            <w:r>
              <w:rPr>
                <w:rFonts w:ascii="Arial" w:hAnsi="Arial" w:cs="Arial"/>
              </w:rPr>
              <w:t>.6021</w:t>
            </w:r>
          </w:p>
        </w:tc>
        <w:tc>
          <w:tcPr>
            <w:tcW w:w="1440" w:type="dxa"/>
          </w:tcPr>
          <w:p w:rsidR="001C0D62" w:rsidRDefault="001C0D62">
            <w:pPr>
              <w:autoSpaceDE w:val="0"/>
              <w:autoSpaceDN w:val="0"/>
              <w:adjustRightInd w:val="0"/>
              <w:rPr>
                <w:rFonts w:ascii="Arial" w:hAnsi="Arial" w:cs="Arial"/>
              </w:rPr>
            </w:pPr>
            <w:r>
              <w:rPr>
                <w:rFonts w:ascii="Arial" w:hAnsi="Arial" w:cs="Arial"/>
              </w:rPr>
              <w:t>.6851</w:t>
            </w:r>
          </w:p>
        </w:tc>
        <w:tc>
          <w:tcPr>
            <w:tcW w:w="1260" w:type="dxa"/>
          </w:tcPr>
          <w:p w:rsidR="001C0D62" w:rsidRDefault="001C0D62">
            <w:pPr>
              <w:autoSpaceDE w:val="0"/>
              <w:autoSpaceDN w:val="0"/>
              <w:adjustRightInd w:val="0"/>
              <w:rPr>
                <w:rFonts w:ascii="Arial" w:hAnsi="Arial" w:cs="Arial"/>
              </w:rPr>
            </w:pPr>
            <w:r>
              <w:rPr>
                <w:rFonts w:ascii="Arial" w:hAnsi="Arial" w:cs="Arial"/>
              </w:rPr>
              <w:t>.7348</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10</w:t>
            </w:r>
          </w:p>
        </w:tc>
        <w:tc>
          <w:tcPr>
            <w:tcW w:w="1800" w:type="dxa"/>
          </w:tcPr>
          <w:p w:rsidR="001C0D62" w:rsidRDefault="001C0D62">
            <w:pPr>
              <w:autoSpaceDE w:val="0"/>
              <w:autoSpaceDN w:val="0"/>
              <w:adjustRightInd w:val="0"/>
              <w:rPr>
                <w:rFonts w:ascii="Arial" w:hAnsi="Arial" w:cs="Arial"/>
              </w:rPr>
            </w:pPr>
            <w:r>
              <w:rPr>
                <w:rFonts w:ascii="Arial" w:hAnsi="Arial" w:cs="Arial"/>
              </w:rPr>
              <w:t>.2161</w:t>
            </w:r>
          </w:p>
        </w:tc>
        <w:tc>
          <w:tcPr>
            <w:tcW w:w="1260" w:type="dxa"/>
          </w:tcPr>
          <w:p w:rsidR="001C0D62" w:rsidRDefault="001C0D62">
            <w:pPr>
              <w:autoSpaceDE w:val="0"/>
              <w:autoSpaceDN w:val="0"/>
              <w:adjustRightInd w:val="0"/>
              <w:rPr>
                <w:rFonts w:ascii="Arial" w:hAnsi="Arial" w:cs="Arial"/>
              </w:rPr>
            </w:pPr>
            <w:r>
              <w:rPr>
                <w:rFonts w:ascii="Arial" w:hAnsi="Arial" w:cs="Arial"/>
              </w:rPr>
              <w:t>.3981</w:t>
            </w:r>
          </w:p>
        </w:tc>
        <w:tc>
          <w:tcPr>
            <w:tcW w:w="1260" w:type="dxa"/>
          </w:tcPr>
          <w:p w:rsidR="001C0D62" w:rsidRDefault="001C0D62">
            <w:pPr>
              <w:autoSpaceDE w:val="0"/>
              <w:autoSpaceDN w:val="0"/>
              <w:adjustRightInd w:val="0"/>
              <w:rPr>
                <w:rFonts w:ascii="Arial" w:hAnsi="Arial" w:cs="Arial"/>
              </w:rPr>
            </w:pPr>
            <w:r>
              <w:rPr>
                <w:rFonts w:ascii="Arial" w:hAnsi="Arial" w:cs="Arial"/>
              </w:rPr>
              <w:t>.4973</w:t>
            </w:r>
          </w:p>
        </w:tc>
        <w:tc>
          <w:tcPr>
            <w:tcW w:w="1080" w:type="dxa"/>
          </w:tcPr>
          <w:p w:rsidR="001C0D62" w:rsidRDefault="001C0D62">
            <w:pPr>
              <w:autoSpaceDE w:val="0"/>
              <w:autoSpaceDN w:val="0"/>
              <w:adjustRightInd w:val="0"/>
              <w:rPr>
                <w:rFonts w:ascii="Arial" w:hAnsi="Arial" w:cs="Arial"/>
              </w:rPr>
            </w:pPr>
            <w:r>
              <w:rPr>
                <w:rFonts w:ascii="Arial" w:hAnsi="Arial" w:cs="Arial"/>
              </w:rPr>
              <w:t>.5760</w:t>
            </w:r>
          </w:p>
        </w:tc>
        <w:tc>
          <w:tcPr>
            <w:tcW w:w="1440" w:type="dxa"/>
          </w:tcPr>
          <w:p w:rsidR="001C0D62" w:rsidRDefault="001C0D62">
            <w:pPr>
              <w:autoSpaceDE w:val="0"/>
              <w:autoSpaceDN w:val="0"/>
              <w:adjustRightInd w:val="0"/>
              <w:rPr>
                <w:rFonts w:ascii="Arial" w:hAnsi="Arial" w:cs="Arial"/>
              </w:rPr>
            </w:pPr>
            <w:r>
              <w:rPr>
                <w:rFonts w:ascii="Arial" w:hAnsi="Arial" w:cs="Arial"/>
              </w:rPr>
              <w:t>.6581</w:t>
            </w:r>
          </w:p>
        </w:tc>
        <w:tc>
          <w:tcPr>
            <w:tcW w:w="1260" w:type="dxa"/>
          </w:tcPr>
          <w:p w:rsidR="001C0D62" w:rsidRDefault="001C0D62">
            <w:pPr>
              <w:autoSpaceDE w:val="0"/>
              <w:autoSpaceDN w:val="0"/>
              <w:adjustRightInd w:val="0"/>
              <w:rPr>
                <w:rFonts w:ascii="Arial" w:hAnsi="Arial" w:cs="Arial"/>
              </w:rPr>
            </w:pPr>
            <w:r>
              <w:rPr>
                <w:rFonts w:ascii="Arial" w:hAnsi="Arial" w:cs="Arial"/>
              </w:rPr>
              <w:t>.7079</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11</w:t>
            </w:r>
          </w:p>
        </w:tc>
        <w:tc>
          <w:tcPr>
            <w:tcW w:w="1800" w:type="dxa"/>
          </w:tcPr>
          <w:p w:rsidR="001C0D62" w:rsidRDefault="001C0D62">
            <w:pPr>
              <w:autoSpaceDE w:val="0"/>
              <w:autoSpaceDN w:val="0"/>
              <w:adjustRightInd w:val="0"/>
              <w:rPr>
                <w:rFonts w:ascii="Arial" w:hAnsi="Arial" w:cs="Arial"/>
              </w:rPr>
            </w:pPr>
            <w:r>
              <w:rPr>
                <w:rFonts w:ascii="Arial" w:hAnsi="Arial" w:cs="Arial"/>
              </w:rPr>
              <w:t>.2058</w:t>
            </w:r>
          </w:p>
        </w:tc>
        <w:tc>
          <w:tcPr>
            <w:tcW w:w="1260" w:type="dxa"/>
          </w:tcPr>
          <w:p w:rsidR="001C0D62" w:rsidRDefault="001C0D62">
            <w:pPr>
              <w:autoSpaceDE w:val="0"/>
              <w:autoSpaceDN w:val="0"/>
              <w:adjustRightInd w:val="0"/>
              <w:rPr>
                <w:rFonts w:ascii="Arial" w:hAnsi="Arial" w:cs="Arial"/>
              </w:rPr>
            </w:pPr>
            <w:r>
              <w:rPr>
                <w:rFonts w:ascii="Arial" w:hAnsi="Arial" w:cs="Arial"/>
              </w:rPr>
              <w:t>.3802</w:t>
            </w:r>
          </w:p>
        </w:tc>
        <w:tc>
          <w:tcPr>
            <w:tcW w:w="1260" w:type="dxa"/>
          </w:tcPr>
          <w:p w:rsidR="001C0D62" w:rsidRDefault="001C0D62">
            <w:pPr>
              <w:autoSpaceDE w:val="0"/>
              <w:autoSpaceDN w:val="0"/>
              <w:adjustRightInd w:val="0"/>
              <w:rPr>
                <w:rFonts w:ascii="Arial" w:hAnsi="Arial" w:cs="Arial"/>
              </w:rPr>
            </w:pPr>
            <w:r>
              <w:rPr>
                <w:rFonts w:ascii="Arial" w:hAnsi="Arial" w:cs="Arial"/>
              </w:rPr>
              <w:t>.4762</w:t>
            </w:r>
          </w:p>
        </w:tc>
        <w:tc>
          <w:tcPr>
            <w:tcW w:w="1080" w:type="dxa"/>
          </w:tcPr>
          <w:p w:rsidR="001C0D62" w:rsidRDefault="001C0D62">
            <w:pPr>
              <w:autoSpaceDE w:val="0"/>
              <w:autoSpaceDN w:val="0"/>
              <w:adjustRightInd w:val="0"/>
              <w:rPr>
                <w:rFonts w:ascii="Arial" w:hAnsi="Arial" w:cs="Arial"/>
              </w:rPr>
            </w:pPr>
            <w:r>
              <w:rPr>
                <w:rFonts w:ascii="Arial" w:hAnsi="Arial" w:cs="Arial"/>
              </w:rPr>
              <w:t>.5529</w:t>
            </w:r>
          </w:p>
        </w:tc>
        <w:tc>
          <w:tcPr>
            <w:tcW w:w="1440" w:type="dxa"/>
          </w:tcPr>
          <w:p w:rsidR="001C0D62" w:rsidRDefault="001C0D62">
            <w:pPr>
              <w:autoSpaceDE w:val="0"/>
              <w:autoSpaceDN w:val="0"/>
              <w:adjustRightInd w:val="0"/>
              <w:rPr>
                <w:rFonts w:ascii="Arial" w:hAnsi="Arial" w:cs="Arial"/>
              </w:rPr>
            </w:pPr>
            <w:r>
              <w:rPr>
                <w:rFonts w:ascii="Arial" w:hAnsi="Arial" w:cs="Arial"/>
              </w:rPr>
              <w:t>.6339</w:t>
            </w:r>
          </w:p>
        </w:tc>
        <w:tc>
          <w:tcPr>
            <w:tcW w:w="1260" w:type="dxa"/>
          </w:tcPr>
          <w:p w:rsidR="001C0D62" w:rsidRDefault="001C0D62">
            <w:pPr>
              <w:autoSpaceDE w:val="0"/>
              <w:autoSpaceDN w:val="0"/>
              <w:adjustRightInd w:val="0"/>
              <w:rPr>
                <w:rFonts w:ascii="Arial" w:hAnsi="Arial" w:cs="Arial"/>
              </w:rPr>
            </w:pPr>
            <w:r>
              <w:rPr>
                <w:rFonts w:ascii="Arial" w:hAnsi="Arial" w:cs="Arial"/>
              </w:rPr>
              <w:t>.6835</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12</w:t>
            </w:r>
          </w:p>
        </w:tc>
        <w:tc>
          <w:tcPr>
            <w:tcW w:w="1800" w:type="dxa"/>
          </w:tcPr>
          <w:p w:rsidR="001C0D62" w:rsidRDefault="001C0D62">
            <w:pPr>
              <w:autoSpaceDE w:val="0"/>
              <w:autoSpaceDN w:val="0"/>
              <w:adjustRightInd w:val="0"/>
              <w:rPr>
                <w:rFonts w:ascii="Arial" w:hAnsi="Arial" w:cs="Arial"/>
              </w:rPr>
            </w:pPr>
            <w:r>
              <w:rPr>
                <w:rFonts w:ascii="Arial" w:hAnsi="Arial" w:cs="Arial"/>
              </w:rPr>
              <w:t>.1968</w:t>
            </w:r>
          </w:p>
        </w:tc>
        <w:tc>
          <w:tcPr>
            <w:tcW w:w="1260" w:type="dxa"/>
          </w:tcPr>
          <w:p w:rsidR="001C0D62" w:rsidRDefault="001C0D62">
            <w:pPr>
              <w:autoSpaceDE w:val="0"/>
              <w:autoSpaceDN w:val="0"/>
              <w:adjustRightInd w:val="0"/>
              <w:rPr>
                <w:rFonts w:ascii="Arial" w:hAnsi="Arial" w:cs="Arial"/>
              </w:rPr>
            </w:pPr>
            <w:r>
              <w:rPr>
                <w:rFonts w:ascii="Arial" w:hAnsi="Arial" w:cs="Arial"/>
              </w:rPr>
              <w:t>.3646</w:t>
            </w:r>
          </w:p>
        </w:tc>
        <w:tc>
          <w:tcPr>
            <w:tcW w:w="1260" w:type="dxa"/>
          </w:tcPr>
          <w:p w:rsidR="001C0D62" w:rsidRDefault="001C0D62">
            <w:pPr>
              <w:autoSpaceDE w:val="0"/>
              <w:autoSpaceDN w:val="0"/>
              <w:adjustRightInd w:val="0"/>
              <w:rPr>
                <w:rFonts w:ascii="Arial" w:hAnsi="Arial" w:cs="Arial"/>
              </w:rPr>
            </w:pPr>
            <w:r>
              <w:rPr>
                <w:rFonts w:ascii="Arial" w:hAnsi="Arial" w:cs="Arial"/>
              </w:rPr>
              <w:t>.4575</w:t>
            </w:r>
          </w:p>
        </w:tc>
        <w:tc>
          <w:tcPr>
            <w:tcW w:w="1080" w:type="dxa"/>
          </w:tcPr>
          <w:p w:rsidR="001C0D62" w:rsidRDefault="001C0D62">
            <w:pPr>
              <w:autoSpaceDE w:val="0"/>
              <w:autoSpaceDN w:val="0"/>
              <w:adjustRightInd w:val="0"/>
              <w:rPr>
                <w:rFonts w:ascii="Arial" w:hAnsi="Arial" w:cs="Arial"/>
              </w:rPr>
            </w:pPr>
            <w:r>
              <w:rPr>
                <w:rFonts w:ascii="Arial" w:hAnsi="Arial" w:cs="Arial"/>
              </w:rPr>
              <w:t>.5324</w:t>
            </w:r>
          </w:p>
        </w:tc>
        <w:tc>
          <w:tcPr>
            <w:tcW w:w="1440" w:type="dxa"/>
          </w:tcPr>
          <w:p w:rsidR="001C0D62" w:rsidRDefault="001C0D62">
            <w:pPr>
              <w:autoSpaceDE w:val="0"/>
              <w:autoSpaceDN w:val="0"/>
              <w:adjustRightInd w:val="0"/>
              <w:rPr>
                <w:rFonts w:ascii="Arial" w:hAnsi="Arial" w:cs="Arial"/>
              </w:rPr>
            </w:pPr>
            <w:r>
              <w:rPr>
                <w:rFonts w:ascii="Arial" w:hAnsi="Arial" w:cs="Arial"/>
              </w:rPr>
              <w:t>.6120</w:t>
            </w:r>
          </w:p>
        </w:tc>
        <w:tc>
          <w:tcPr>
            <w:tcW w:w="1260" w:type="dxa"/>
          </w:tcPr>
          <w:p w:rsidR="001C0D62" w:rsidRDefault="001C0D62">
            <w:pPr>
              <w:autoSpaceDE w:val="0"/>
              <w:autoSpaceDN w:val="0"/>
              <w:adjustRightInd w:val="0"/>
              <w:rPr>
                <w:rFonts w:ascii="Arial" w:hAnsi="Arial" w:cs="Arial"/>
              </w:rPr>
            </w:pPr>
            <w:r>
              <w:rPr>
                <w:rFonts w:ascii="Arial" w:hAnsi="Arial" w:cs="Arial"/>
              </w:rPr>
              <w:t>.6614</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13</w:t>
            </w:r>
          </w:p>
        </w:tc>
        <w:tc>
          <w:tcPr>
            <w:tcW w:w="1800" w:type="dxa"/>
          </w:tcPr>
          <w:p w:rsidR="001C0D62" w:rsidRDefault="001C0D62">
            <w:pPr>
              <w:autoSpaceDE w:val="0"/>
              <w:autoSpaceDN w:val="0"/>
              <w:adjustRightInd w:val="0"/>
              <w:rPr>
                <w:rFonts w:ascii="Arial" w:hAnsi="Arial" w:cs="Arial"/>
              </w:rPr>
            </w:pPr>
            <w:r>
              <w:rPr>
                <w:rFonts w:ascii="Arial" w:hAnsi="Arial" w:cs="Arial"/>
              </w:rPr>
              <w:t>.1890</w:t>
            </w:r>
          </w:p>
        </w:tc>
        <w:tc>
          <w:tcPr>
            <w:tcW w:w="1260" w:type="dxa"/>
          </w:tcPr>
          <w:p w:rsidR="001C0D62" w:rsidRDefault="001C0D62">
            <w:pPr>
              <w:autoSpaceDE w:val="0"/>
              <w:autoSpaceDN w:val="0"/>
              <w:adjustRightInd w:val="0"/>
              <w:rPr>
                <w:rFonts w:ascii="Arial" w:hAnsi="Arial" w:cs="Arial"/>
              </w:rPr>
            </w:pPr>
            <w:r>
              <w:rPr>
                <w:rFonts w:ascii="Arial" w:hAnsi="Arial" w:cs="Arial"/>
              </w:rPr>
              <w:t>.3507</w:t>
            </w:r>
          </w:p>
        </w:tc>
        <w:tc>
          <w:tcPr>
            <w:tcW w:w="1260" w:type="dxa"/>
          </w:tcPr>
          <w:p w:rsidR="001C0D62" w:rsidRDefault="001C0D62">
            <w:pPr>
              <w:autoSpaceDE w:val="0"/>
              <w:autoSpaceDN w:val="0"/>
              <w:adjustRightInd w:val="0"/>
              <w:rPr>
                <w:rFonts w:ascii="Arial" w:hAnsi="Arial" w:cs="Arial"/>
              </w:rPr>
            </w:pPr>
            <w:r>
              <w:rPr>
                <w:rFonts w:ascii="Arial" w:hAnsi="Arial" w:cs="Arial"/>
              </w:rPr>
              <w:t>.4409</w:t>
            </w:r>
          </w:p>
        </w:tc>
        <w:tc>
          <w:tcPr>
            <w:tcW w:w="1080" w:type="dxa"/>
          </w:tcPr>
          <w:p w:rsidR="001C0D62" w:rsidRDefault="001C0D62">
            <w:pPr>
              <w:autoSpaceDE w:val="0"/>
              <w:autoSpaceDN w:val="0"/>
              <w:adjustRightInd w:val="0"/>
              <w:rPr>
                <w:rFonts w:ascii="Arial" w:hAnsi="Arial" w:cs="Arial"/>
              </w:rPr>
            </w:pPr>
            <w:r>
              <w:rPr>
                <w:rFonts w:ascii="Arial" w:hAnsi="Arial" w:cs="Arial"/>
              </w:rPr>
              <w:t>.5140</w:t>
            </w:r>
          </w:p>
        </w:tc>
        <w:tc>
          <w:tcPr>
            <w:tcW w:w="1440" w:type="dxa"/>
          </w:tcPr>
          <w:p w:rsidR="001C0D62" w:rsidRDefault="001C0D62">
            <w:pPr>
              <w:autoSpaceDE w:val="0"/>
              <w:autoSpaceDN w:val="0"/>
              <w:adjustRightInd w:val="0"/>
              <w:rPr>
                <w:rFonts w:ascii="Arial" w:hAnsi="Arial" w:cs="Arial"/>
              </w:rPr>
            </w:pPr>
            <w:r>
              <w:rPr>
                <w:rFonts w:ascii="Arial" w:hAnsi="Arial" w:cs="Arial"/>
              </w:rPr>
              <w:t>.5923</w:t>
            </w:r>
          </w:p>
        </w:tc>
        <w:tc>
          <w:tcPr>
            <w:tcW w:w="1260" w:type="dxa"/>
          </w:tcPr>
          <w:p w:rsidR="001C0D62" w:rsidRDefault="001C0D62">
            <w:pPr>
              <w:autoSpaceDE w:val="0"/>
              <w:autoSpaceDN w:val="0"/>
              <w:adjustRightInd w:val="0"/>
              <w:rPr>
                <w:rFonts w:ascii="Arial" w:hAnsi="Arial" w:cs="Arial"/>
              </w:rPr>
            </w:pPr>
            <w:r>
              <w:rPr>
                <w:rFonts w:ascii="Arial" w:hAnsi="Arial" w:cs="Arial"/>
              </w:rPr>
              <w:t>.6411</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14</w:t>
            </w:r>
          </w:p>
        </w:tc>
        <w:tc>
          <w:tcPr>
            <w:tcW w:w="1800" w:type="dxa"/>
          </w:tcPr>
          <w:p w:rsidR="001C0D62" w:rsidRDefault="001C0D62">
            <w:pPr>
              <w:autoSpaceDE w:val="0"/>
              <w:autoSpaceDN w:val="0"/>
              <w:adjustRightInd w:val="0"/>
              <w:rPr>
                <w:rFonts w:ascii="Arial" w:hAnsi="Arial" w:cs="Arial"/>
              </w:rPr>
            </w:pPr>
            <w:r>
              <w:rPr>
                <w:rFonts w:ascii="Arial" w:hAnsi="Arial" w:cs="Arial"/>
              </w:rPr>
              <w:t>.1820</w:t>
            </w:r>
          </w:p>
        </w:tc>
        <w:tc>
          <w:tcPr>
            <w:tcW w:w="1260" w:type="dxa"/>
          </w:tcPr>
          <w:p w:rsidR="001C0D62" w:rsidRDefault="001C0D62">
            <w:pPr>
              <w:autoSpaceDE w:val="0"/>
              <w:autoSpaceDN w:val="0"/>
              <w:adjustRightInd w:val="0"/>
              <w:rPr>
                <w:rFonts w:ascii="Arial" w:hAnsi="Arial" w:cs="Arial"/>
              </w:rPr>
            </w:pPr>
            <w:r>
              <w:rPr>
                <w:rFonts w:ascii="Arial" w:hAnsi="Arial" w:cs="Arial"/>
              </w:rPr>
              <w:t>.3383</w:t>
            </w:r>
          </w:p>
        </w:tc>
        <w:tc>
          <w:tcPr>
            <w:tcW w:w="1260" w:type="dxa"/>
          </w:tcPr>
          <w:p w:rsidR="001C0D62" w:rsidRDefault="001C0D62">
            <w:pPr>
              <w:autoSpaceDE w:val="0"/>
              <w:autoSpaceDN w:val="0"/>
              <w:adjustRightInd w:val="0"/>
              <w:rPr>
                <w:rFonts w:ascii="Arial" w:hAnsi="Arial" w:cs="Arial"/>
              </w:rPr>
            </w:pPr>
            <w:r>
              <w:rPr>
                <w:rFonts w:ascii="Arial" w:hAnsi="Arial" w:cs="Arial"/>
              </w:rPr>
              <w:t>.4259</w:t>
            </w:r>
          </w:p>
        </w:tc>
        <w:tc>
          <w:tcPr>
            <w:tcW w:w="1080" w:type="dxa"/>
          </w:tcPr>
          <w:p w:rsidR="001C0D62" w:rsidRDefault="001C0D62">
            <w:pPr>
              <w:autoSpaceDE w:val="0"/>
              <w:autoSpaceDN w:val="0"/>
              <w:adjustRightInd w:val="0"/>
              <w:rPr>
                <w:rFonts w:ascii="Arial" w:hAnsi="Arial" w:cs="Arial"/>
              </w:rPr>
            </w:pPr>
            <w:r>
              <w:rPr>
                <w:rFonts w:ascii="Arial" w:hAnsi="Arial" w:cs="Arial"/>
              </w:rPr>
              <w:t>.4973</w:t>
            </w:r>
          </w:p>
        </w:tc>
        <w:tc>
          <w:tcPr>
            <w:tcW w:w="1440" w:type="dxa"/>
          </w:tcPr>
          <w:p w:rsidR="001C0D62" w:rsidRDefault="001C0D62">
            <w:pPr>
              <w:autoSpaceDE w:val="0"/>
              <w:autoSpaceDN w:val="0"/>
              <w:adjustRightInd w:val="0"/>
              <w:rPr>
                <w:rFonts w:ascii="Arial" w:hAnsi="Arial" w:cs="Arial"/>
              </w:rPr>
            </w:pPr>
            <w:r>
              <w:rPr>
                <w:rFonts w:ascii="Arial" w:hAnsi="Arial" w:cs="Arial"/>
              </w:rPr>
              <w:t>.5742</w:t>
            </w:r>
          </w:p>
        </w:tc>
        <w:tc>
          <w:tcPr>
            <w:tcW w:w="1260" w:type="dxa"/>
          </w:tcPr>
          <w:p w:rsidR="001C0D62" w:rsidRDefault="001C0D62">
            <w:pPr>
              <w:autoSpaceDE w:val="0"/>
              <w:autoSpaceDN w:val="0"/>
              <w:adjustRightInd w:val="0"/>
              <w:rPr>
                <w:rFonts w:ascii="Arial" w:hAnsi="Arial" w:cs="Arial"/>
              </w:rPr>
            </w:pPr>
            <w:r>
              <w:rPr>
                <w:rFonts w:ascii="Arial" w:hAnsi="Arial" w:cs="Arial"/>
              </w:rPr>
              <w:t>.6226</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15</w:t>
            </w:r>
          </w:p>
        </w:tc>
        <w:tc>
          <w:tcPr>
            <w:tcW w:w="1800" w:type="dxa"/>
          </w:tcPr>
          <w:p w:rsidR="001C0D62" w:rsidRDefault="001C0D62">
            <w:pPr>
              <w:autoSpaceDE w:val="0"/>
              <w:autoSpaceDN w:val="0"/>
              <w:adjustRightInd w:val="0"/>
              <w:rPr>
                <w:rFonts w:ascii="Arial" w:hAnsi="Arial" w:cs="Arial"/>
              </w:rPr>
            </w:pPr>
            <w:r>
              <w:rPr>
                <w:rFonts w:ascii="Arial" w:hAnsi="Arial" w:cs="Arial"/>
              </w:rPr>
              <w:t>.1757</w:t>
            </w:r>
          </w:p>
        </w:tc>
        <w:tc>
          <w:tcPr>
            <w:tcW w:w="1260" w:type="dxa"/>
          </w:tcPr>
          <w:p w:rsidR="001C0D62" w:rsidRDefault="001C0D62">
            <w:pPr>
              <w:autoSpaceDE w:val="0"/>
              <w:autoSpaceDN w:val="0"/>
              <w:adjustRightInd w:val="0"/>
              <w:rPr>
                <w:rFonts w:ascii="Arial" w:hAnsi="Arial" w:cs="Arial"/>
              </w:rPr>
            </w:pPr>
            <w:r>
              <w:rPr>
                <w:rFonts w:ascii="Arial" w:hAnsi="Arial" w:cs="Arial"/>
              </w:rPr>
              <w:t>.3271</w:t>
            </w:r>
          </w:p>
        </w:tc>
        <w:tc>
          <w:tcPr>
            <w:tcW w:w="1260" w:type="dxa"/>
          </w:tcPr>
          <w:p w:rsidR="001C0D62" w:rsidRDefault="001C0D62">
            <w:pPr>
              <w:autoSpaceDE w:val="0"/>
              <w:autoSpaceDN w:val="0"/>
              <w:adjustRightInd w:val="0"/>
              <w:rPr>
                <w:rFonts w:ascii="Arial" w:hAnsi="Arial" w:cs="Arial"/>
              </w:rPr>
            </w:pPr>
            <w:r>
              <w:rPr>
                <w:rFonts w:ascii="Arial" w:hAnsi="Arial" w:cs="Arial"/>
              </w:rPr>
              <w:t>.4124</w:t>
            </w:r>
          </w:p>
        </w:tc>
        <w:tc>
          <w:tcPr>
            <w:tcW w:w="1080" w:type="dxa"/>
          </w:tcPr>
          <w:p w:rsidR="001C0D62" w:rsidRDefault="001C0D62">
            <w:pPr>
              <w:autoSpaceDE w:val="0"/>
              <w:autoSpaceDN w:val="0"/>
              <w:adjustRightInd w:val="0"/>
              <w:rPr>
                <w:rFonts w:ascii="Arial" w:hAnsi="Arial" w:cs="Arial"/>
              </w:rPr>
            </w:pPr>
            <w:r>
              <w:rPr>
                <w:rFonts w:ascii="Arial" w:hAnsi="Arial" w:cs="Arial"/>
              </w:rPr>
              <w:t>.4821</w:t>
            </w:r>
          </w:p>
        </w:tc>
        <w:tc>
          <w:tcPr>
            <w:tcW w:w="1440" w:type="dxa"/>
          </w:tcPr>
          <w:p w:rsidR="001C0D62" w:rsidRDefault="001C0D62">
            <w:pPr>
              <w:autoSpaceDE w:val="0"/>
              <w:autoSpaceDN w:val="0"/>
              <w:adjustRightInd w:val="0"/>
              <w:rPr>
                <w:rFonts w:ascii="Arial" w:hAnsi="Arial" w:cs="Arial"/>
              </w:rPr>
            </w:pPr>
            <w:r>
              <w:rPr>
                <w:rFonts w:ascii="Arial" w:hAnsi="Arial" w:cs="Arial"/>
              </w:rPr>
              <w:t>.5577</w:t>
            </w:r>
          </w:p>
        </w:tc>
        <w:tc>
          <w:tcPr>
            <w:tcW w:w="1260" w:type="dxa"/>
          </w:tcPr>
          <w:p w:rsidR="001C0D62" w:rsidRDefault="001C0D62">
            <w:pPr>
              <w:autoSpaceDE w:val="0"/>
              <w:autoSpaceDN w:val="0"/>
              <w:adjustRightInd w:val="0"/>
              <w:rPr>
                <w:rFonts w:ascii="Arial" w:hAnsi="Arial" w:cs="Arial"/>
              </w:rPr>
            </w:pPr>
            <w:r>
              <w:rPr>
                <w:rFonts w:ascii="Arial" w:hAnsi="Arial" w:cs="Arial"/>
              </w:rPr>
              <w:t>.6055</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16</w:t>
            </w:r>
          </w:p>
        </w:tc>
        <w:tc>
          <w:tcPr>
            <w:tcW w:w="1800" w:type="dxa"/>
          </w:tcPr>
          <w:p w:rsidR="001C0D62" w:rsidRDefault="001C0D62">
            <w:pPr>
              <w:autoSpaceDE w:val="0"/>
              <w:autoSpaceDN w:val="0"/>
              <w:adjustRightInd w:val="0"/>
              <w:rPr>
                <w:rFonts w:ascii="Arial" w:hAnsi="Arial" w:cs="Arial"/>
              </w:rPr>
            </w:pPr>
            <w:r>
              <w:rPr>
                <w:rFonts w:ascii="Arial" w:hAnsi="Arial" w:cs="Arial"/>
              </w:rPr>
              <w:t>.1700</w:t>
            </w:r>
          </w:p>
        </w:tc>
        <w:tc>
          <w:tcPr>
            <w:tcW w:w="1260" w:type="dxa"/>
          </w:tcPr>
          <w:p w:rsidR="001C0D62" w:rsidRDefault="001C0D62">
            <w:pPr>
              <w:autoSpaceDE w:val="0"/>
              <w:autoSpaceDN w:val="0"/>
              <w:adjustRightInd w:val="0"/>
              <w:rPr>
                <w:rFonts w:ascii="Arial" w:hAnsi="Arial" w:cs="Arial"/>
              </w:rPr>
            </w:pPr>
            <w:r>
              <w:rPr>
                <w:rFonts w:ascii="Arial" w:hAnsi="Arial" w:cs="Arial"/>
              </w:rPr>
              <w:t>.3170</w:t>
            </w:r>
          </w:p>
        </w:tc>
        <w:tc>
          <w:tcPr>
            <w:tcW w:w="1260" w:type="dxa"/>
          </w:tcPr>
          <w:p w:rsidR="001C0D62" w:rsidRDefault="001C0D62">
            <w:pPr>
              <w:autoSpaceDE w:val="0"/>
              <w:autoSpaceDN w:val="0"/>
              <w:adjustRightInd w:val="0"/>
              <w:rPr>
                <w:rFonts w:ascii="Arial" w:hAnsi="Arial" w:cs="Arial"/>
              </w:rPr>
            </w:pPr>
            <w:r>
              <w:rPr>
                <w:rFonts w:ascii="Arial" w:hAnsi="Arial" w:cs="Arial"/>
              </w:rPr>
              <w:t>.4000</w:t>
            </w:r>
          </w:p>
        </w:tc>
        <w:tc>
          <w:tcPr>
            <w:tcW w:w="1080" w:type="dxa"/>
          </w:tcPr>
          <w:p w:rsidR="001C0D62" w:rsidRDefault="001C0D62">
            <w:pPr>
              <w:autoSpaceDE w:val="0"/>
              <w:autoSpaceDN w:val="0"/>
              <w:adjustRightInd w:val="0"/>
              <w:rPr>
                <w:rFonts w:ascii="Arial" w:hAnsi="Arial" w:cs="Arial"/>
              </w:rPr>
            </w:pPr>
            <w:r>
              <w:rPr>
                <w:rFonts w:ascii="Arial" w:hAnsi="Arial" w:cs="Arial"/>
              </w:rPr>
              <w:t>.4683</w:t>
            </w:r>
          </w:p>
        </w:tc>
        <w:tc>
          <w:tcPr>
            <w:tcW w:w="1440" w:type="dxa"/>
          </w:tcPr>
          <w:p w:rsidR="001C0D62" w:rsidRDefault="001C0D62">
            <w:pPr>
              <w:autoSpaceDE w:val="0"/>
              <w:autoSpaceDN w:val="0"/>
              <w:adjustRightInd w:val="0"/>
              <w:rPr>
                <w:rFonts w:ascii="Arial" w:hAnsi="Arial" w:cs="Arial"/>
              </w:rPr>
            </w:pPr>
            <w:r>
              <w:rPr>
                <w:rFonts w:ascii="Arial" w:hAnsi="Arial" w:cs="Arial"/>
              </w:rPr>
              <w:t>.5425</w:t>
            </w:r>
          </w:p>
        </w:tc>
        <w:tc>
          <w:tcPr>
            <w:tcW w:w="1260" w:type="dxa"/>
          </w:tcPr>
          <w:p w:rsidR="001C0D62" w:rsidRDefault="001C0D62">
            <w:pPr>
              <w:autoSpaceDE w:val="0"/>
              <w:autoSpaceDN w:val="0"/>
              <w:adjustRightInd w:val="0"/>
              <w:rPr>
                <w:rFonts w:ascii="Arial" w:hAnsi="Arial" w:cs="Arial"/>
              </w:rPr>
            </w:pPr>
            <w:r>
              <w:rPr>
                <w:rFonts w:ascii="Arial" w:hAnsi="Arial" w:cs="Arial"/>
              </w:rPr>
              <w:t>.5897</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17</w:t>
            </w:r>
          </w:p>
        </w:tc>
        <w:tc>
          <w:tcPr>
            <w:tcW w:w="1800" w:type="dxa"/>
          </w:tcPr>
          <w:p w:rsidR="001C0D62" w:rsidRDefault="001C0D62">
            <w:pPr>
              <w:autoSpaceDE w:val="0"/>
              <w:autoSpaceDN w:val="0"/>
              <w:adjustRightInd w:val="0"/>
              <w:rPr>
                <w:rFonts w:ascii="Arial" w:hAnsi="Arial" w:cs="Arial"/>
              </w:rPr>
            </w:pPr>
            <w:r>
              <w:rPr>
                <w:rFonts w:ascii="Arial" w:hAnsi="Arial" w:cs="Arial"/>
              </w:rPr>
              <w:t>.1649</w:t>
            </w:r>
          </w:p>
        </w:tc>
        <w:tc>
          <w:tcPr>
            <w:tcW w:w="1260" w:type="dxa"/>
          </w:tcPr>
          <w:p w:rsidR="001C0D62" w:rsidRDefault="001C0D62">
            <w:pPr>
              <w:autoSpaceDE w:val="0"/>
              <w:autoSpaceDN w:val="0"/>
              <w:adjustRightInd w:val="0"/>
              <w:rPr>
                <w:rFonts w:ascii="Arial" w:hAnsi="Arial" w:cs="Arial"/>
              </w:rPr>
            </w:pPr>
            <w:r>
              <w:rPr>
                <w:rFonts w:ascii="Arial" w:hAnsi="Arial" w:cs="Arial"/>
              </w:rPr>
              <w:t>.3077</w:t>
            </w:r>
          </w:p>
        </w:tc>
        <w:tc>
          <w:tcPr>
            <w:tcW w:w="1260" w:type="dxa"/>
          </w:tcPr>
          <w:p w:rsidR="001C0D62" w:rsidRDefault="001C0D62">
            <w:pPr>
              <w:autoSpaceDE w:val="0"/>
              <w:autoSpaceDN w:val="0"/>
              <w:adjustRightInd w:val="0"/>
              <w:rPr>
                <w:rFonts w:ascii="Arial" w:hAnsi="Arial" w:cs="Arial"/>
              </w:rPr>
            </w:pPr>
            <w:r>
              <w:rPr>
                <w:rFonts w:ascii="Arial" w:hAnsi="Arial" w:cs="Arial"/>
              </w:rPr>
              <w:t>.3887</w:t>
            </w:r>
          </w:p>
        </w:tc>
        <w:tc>
          <w:tcPr>
            <w:tcW w:w="1080" w:type="dxa"/>
          </w:tcPr>
          <w:p w:rsidR="001C0D62" w:rsidRDefault="001C0D62">
            <w:pPr>
              <w:autoSpaceDE w:val="0"/>
              <w:autoSpaceDN w:val="0"/>
              <w:adjustRightInd w:val="0"/>
              <w:rPr>
                <w:rFonts w:ascii="Arial" w:hAnsi="Arial" w:cs="Arial"/>
              </w:rPr>
            </w:pPr>
            <w:r>
              <w:rPr>
                <w:rFonts w:ascii="Arial" w:hAnsi="Arial" w:cs="Arial"/>
              </w:rPr>
              <w:t>.4555</w:t>
            </w:r>
          </w:p>
        </w:tc>
        <w:tc>
          <w:tcPr>
            <w:tcW w:w="1440" w:type="dxa"/>
          </w:tcPr>
          <w:p w:rsidR="001C0D62" w:rsidRDefault="001C0D62">
            <w:pPr>
              <w:autoSpaceDE w:val="0"/>
              <w:autoSpaceDN w:val="0"/>
              <w:adjustRightInd w:val="0"/>
              <w:rPr>
                <w:rFonts w:ascii="Arial" w:hAnsi="Arial" w:cs="Arial"/>
              </w:rPr>
            </w:pPr>
            <w:r>
              <w:rPr>
                <w:rFonts w:ascii="Arial" w:hAnsi="Arial" w:cs="Arial"/>
              </w:rPr>
              <w:t>.5285</w:t>
            </w:r>
          </w:p>
        </w:tc>
        <w:tc>
          <w:tcPr>
            <w:tcW w:w="1260" w:type="dxa"/>
          </w:tcPr>
          <w:p w:rsidR="001C0D62" w:rsidRDefault="001C0D62">
            <w:pPr>
              <w:autoSpaceDE w:val="0"/>
              <w:autoSpaceDN w:val="0"/>
              <w:adjustRightInd w:val="0"/>
              <w:rPr>
                <w:rFonts w:ascii="Arial" w:hAnsi="Arial" w:cs="Arial"/>
              </w:rPr>
            </w:pPr>
            <w:r>
              <w:rPr>
                <w:rFonts w:ascii="Arial" w:hAnsi="Arial" w:cs="Arial"/>
              </w:rPr>
              <w:t>.5751</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18</w:t>
            </w:r>
          </w:p>
        </w:tc>
        <w:tc>
          <w:tcPr>
            <w:tcW w:w="1800" w:type="dxa"/>
          </w:tcPr>
          <w:p w:rsidR="001C0D62" w:rsidRDefault="001C0D62">
            <w:pPr>
              <w:autoSpaceDE w:val="0"/>
              <w:autoSpaceDN w:val="0"/>
              <w:adjustRightInd w:val="0"/>
              <w:rPr>
                <w:rFonts w:ascii="Arial" w:hAnsi="Arial" w:cs="Arial"/>
              </w:rPr>
            </w:pPr>
            <w:r>
              <w:rPr>
                <w:rFonts w:ascii="Arial" w:hAnsi="Arial" w:cs="Arial"/>
              </w:rPr>
              <w:t>.1602</w:t>
            </w:r>
          </w:p>
        </w:tc>
        <w:tc>
          <w:tcPr>
            <w:tcW w:w="1260" w:type="dxa"/>
          </w:tcPr>
          <w:p w:rsidR="001C0D62" w:rsidRDefault="001C0D62">
            <w:pPr>
              <w:autoSpaceDE w:val="0"/>
              <w:autoSpaceDN w:val="0"/>
              <w:adjustRightInd w:val="0"/>
              <w:rPr>
                <w:rFonts w:ascii="Arial" w:hAnsi="Arial" w:cs="Arial"/>
              </w:rPr>
            </w:pPr>
            <w:r>
              <w:rPr>
                <w:rFonts w:ascii="Arial" w:hAnsi="Arial" w:cs="Arial"/>
              </w:rPr>
              <w:t>.2992</w:t>
            </w:r>
          </w:p>
        </w:tc>
        <w:tc>
          <w:tcPr>
            <w:tcW w:w="1260" w:type="dxa"/>
          </w:tcPr>
          <w:p w:rsidR="001C0D62" w:rsidRDefault="001C0D62">
            <w:pPr>
              <w:autoSpaceDE w:val="0"/>
              <w:autoSpaceDN w:val="0"/>
              <w:adjustRightInd w:val="0"/>
              <w:rPr>
                <w:rFonts w:ascii="Arial" w:hAnsi="Arial" w:cs="Arial"/>
              </w:rPr>
            </w:pPr>
            <w:r>
              <w:rPr>
                <w:rFonts w:ascii="Arial" w:hAnsi="Arial" w:cs="Arial"/>
              </w:rPr>
              <w:t>.3783</w:t>
            </w:r>
          </w:p>
        </w:tc>
        <w:tc>
          <w:tcPr>
            <w:tcW w:w="1080" w:type="dxa"/>
          </w:tcPr>
          <w:p w:rsidR="001C0D62" w:rsidRDefault="001C0D62">
            <w:pPr>
              <w:autoSpaceDE w:val="0"/>
              <w:autoSpaceDN w:val="0"/>
              <w:adjustRightInd w:val="0"/>
              <w:rPr>
                <w:rFonts w:ascii="Arial" w:hAnsi="Arial" w:cs="Arial"/>
              </w:rPr>
            </w:pPr>
            <w:r>
              <w:rPr>
                <w:rFonts w:ascii="Arial" w:hAnsi="Arial" w:cs="Arial"/>
              </w:rPr>
              <w:t>.4438</w:t>
            </w:r>
          </w:p>
        </w:tc>
        <w:tc>
          <w:tcPr>
            <w:tcW w:w="1440" w:type="dxa"/>
          </w:tcPr>
          <w:p w:rsidR="001C0D62" w:rsidRDefault="001C0D62">
            <w:pPr>
              <w:autoSpaceDE w:val="0"/>
              <w:autoSpaceDN w:val="0"/>
              <w:adjustRightInd w:val="0"/>
              <w:rPr>
                <w:rFonts w:ascii="Arial" w:hAnsi="Arial" w:cs="Arial"/>
              </w:rPr>
            </w:pPr>
            <w:r>
              <w:rPr>
                <w:rFonts w:ascii="Arial" w:hAnsi="Arial" w:cs="Arial"/>
              </w:rPr>
              <w:t>.5155</w:t>
            </w:r>
          </w:p>
        </w:tc>
        <w:tc>
          <w:tcPr>
            <w:tcW w:w="1260" w:type="dxa"/>
          </w:tcPr>
          <w:p w:rsidR="001C0D62" w:rsidRDefault="001C0D62">
            <w:pPr>
              <w:autoSpaceDE w:val="0"/>
              <w:autoSpaceDN w:val="0"/>
              <w:adjustRightInd w:val="0"/>
              <w:rPr>
                <w:rFonts w:ascii="Arial" w:hAnsi="Arial" w:cs="Arial"/>
              </w:rPr>
            </w:pPr>
            <w:r>
              <w:rPr>
                <w:rFonts w:ascii="Arial" w:hAnsi="Arial" w:cs="Arial"/>
              </w:rPr>
              <w:t>.5614</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19</w:t>
            </w:r>
          </w:p>
        </w:tc>
        <w:tc>
          <w:tcPr>
            <w:tcW w:w="1800" w:type="dxa"/>
          </w:tcPr>
          <w:p w:rsidR="001C0D62" w:rsidRDefault="001C0D62">
            <w:pPr>
              <w:autoSpaceDE w:val="0"/>
              <w:autoSpaceDN w:val="0"/>
              <w:adjustRightInd w:val="0"/>
              <w:rPr>
                <w:rFonts w:ascii="Arial" w:hAnsi="Arial" w:cs="Arial"/>
              </w:rPr>
            </w:pPr>
            <w:r>
              <w:rPr>
                <w:rFonts w:ascii="Arial" w:hAnsi="Arial" w:cs="Arial"/>
              </w:rPr>
              <w:t>.1558</w:t>
            </w:r>
          </w:p>
        </w:tc>
        <w:tc>
          <w:tcPr>
            <w:tcW w:w="1260" w:type="dxa"/>
          </w:tcPr>
          <w:p w:rsidR="001C0D62" w:rsidRDefault="001C0D62">
            <w:pPr>
              <w:autoSpaceDE w:val="0"/>
              <w:autoSpaceDN w:val="0"/>
              <w:adjustRightInd w:val="0"/>
              <w:rPr>
                <w:rFonts w:ascii="Arial" w:hAnsi="Arial" w:cs="Arial"/>
              </w:rPr>
            </w:pPr>
            <w:r>
              <w:rPr>
                <w:rFonts w:ascii="Arial" w:hAnsi="Arial" w:cs="Arial"/>
              </w:rPr>
              <w:t>.2914</w:t>
            </w:r>
          </w:p>
        </w:tc>
        <w:tc>
          <w:tcPr>
            <w:tcW w:w="1260" w:type="dxa"/>
          </w:tcPr>
          <w:p w:rsidR="001C0D62" w:rsidRDefault="001C0D62">
            <w:pPr>
              <w:autoSpaceDE w:val="0"/>
              <w:autoSpaceDN w:val="0"/>
              <w:adjustRightInd w:val="0"/>
              <w:rPr>
                <w:rFonts w:ascii="Arial" w:hAnsi="Arial" w:cs="Arial"/>
              </w:rPr>
            </w:pPr>
            <w:r>
              <w:rPr>
                <w:rFonts w:ascii="Arial" w:hAnsi="Arial" w:cs="Arial"/>
              </w:rPr>
              <w:t>.3687</w:t>
            </w:r>
          </w:p>
        </w:tc>
        <w:tc>
          <w:tcPr>
            <w:tcW w:w="1080" w:type="dxa"/>
          </w:tcPr>
          <w:p w:rsidR="001C0D62" w:rsidRDefault="001C0D62">
            <w:pPr>
              <w:autoSpaceDE w:val="0"/>
              <w:autoSpaceDN w:val="0"/>
              <w:adjustRightInd w:val="0"/>
              <w:rPr>
                <w:rFonts w:ascii="Arial" w:hAnsi="Arial" w:cs="Arial"/>
              </w:rPr>
            </w:pPr>
            <w:r>
              <w:rPr>
                <w:rFonts w:ascii="Arial" w:hAnsi="Arial" w:cs="Arial"/>
              </w:rPr>
              <w:t>.4329</w:t>
            </w:r>
          </w:p>
        </w:tc>
        <w:tc>
          <w:tcPr>
            <w:tcW w:w="1440" w:type="dxa"/>
          </w:tcPr>
          <w:p w:rsidR="001C0D62" w:rsidRDefault="001C0D62">
            <w:pPr>
              <w:autoSpaceDE w:val="0"/>
              <w:autoSpaceDN w:val="0"/>
              <w:adjustRightInd w:val="0"/>
              <w:rPr>
                <w:rFonts w:ascii="Arial" w:hAnsi="Arial" w:cs="Arial"/>
              </w:rPr>
            </w:pPr>
            <w:r>
              <w:rPr>
                <w:rFonts w:ascii="Arial" w:hAnsi="Arial" w:cs="Arial"/>
              </w:rPr>
              <w:t>.5034</w:t>
            </w:r>
          </w:p>
        </w:tc>
        <w:tc>
          <w:tcPr>
            <w:tcW w:w="1260" w:type="dxa"/>
          </w:tcPr>
          <w:p w:rsidR="001C0D62" w:rsidRDefault="001C0D62">
            <w:pPr>
              <w:autoSpaceDE w:val="0"/>
              <w:autoSpaceDN w:val="0"/>
              <w:adjustRightInd w:val="0"/>
              <w:rPr>
                <w:rFonts w:ascii="Arial" w:hAnsi="Arial" w:cs="Arial"/>
              </w:rPr>
            </w:pPr>
            <w:r>
              <w:rPr>
                <w:rFonts w:ascii="Arial" w:hAnsi="Arial" w:cs="Arial"/>
              </w:rPr>
              <w:t>.5487</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20</w:t>
            </w:r>
          </w:p>
        </w:tc>
        <w:tc>
          <w:tcPr>
            <w:tcW w:w="1800" w:type="dxa"/>
          </w:tcPr>
          <w:p w:rsidR="001C0D62" w:rsidRDefault="001C0D62">
            <w:pPr>
              <w:autoSpaceDE w:val="0"/>
              <w:autoSpaceDN w:val="0"/>
              <w:adjustRightInd w:val="0"/>
              <w:rPr>
                <w:rFonts w:ascii="Arial" w:hAnsi="Arial" w:cs="Arial"/>
              </w:rPr>
            </w:pPr>
            <w:r>
              <w:rPr>
                <w:rFonts w:ascii="Arial" w:hAnsi="Arial" w:cs="Arial"/>
              </w:rPr>
              <w:t>.1518</w:t>
            </w:r>
          </w:p>
        </w:tc>
        <w:tc>
          <w:tcPr>
            <w:tcW w:w="1260" w:type="dxa"/>
          </w:tcPr>
          <w:p w:rsidR="001C0D62" w:rsidRDefault="001C0D62">
            <w:pPr>
              <w:autoSpaceDE w:val="0"/>
              <w:autoSpaceDN w:val="0"/>
              <w:adjustRightInd w:val="0"/>
              <w:rPr>
                <w:rFonts w:ascii="Arial" w:hAnsi="Arial" w:cs="Arial"/>
              </w:rPr>
            </w:pPr>
            <w:r>
              <w:rPr>
                <w:rFonts w:ascii="Arial" w:hAnsi="Arial" w:cs="Arial"/>
              </w:rPr>
              <w:t>.2841</w:t>
            </w:r>
          </w:p>
        </w:tc>
        <w:tc>
          <w:tcPr>
            <w:tcW w:w="1260" w:type="dxa"/>
          </w:tcPr>
          <w:p w:rsidR="001C0D62" w:rsidRDefault="001C0D62">
            <w:pPr>
              <w:autoSpaceDE w:val="0"/>
              <w:autoSpaceDN w:val="0"/>
              <w:adjustRightInd w:val="0"/>
              <w:rPr>
                <w:rFonts w:ascii="Arial" w:hAnsi="Arial" w:cs="Arial"/>
              </w:rPr>
            </w:pPr>
            <w:r>
              <w:rPr>
                <w:rFonts w:ascii="Arial" w:hAnsi="Arial" w:cs="Arial"/>
              </w:rPr>
              <w:t>.3598</w:t>
            </w:r>
          </w:p>
        </w:tc>
        <w:tc>
          <w:tcPr>
            <w:tcW w:w="1080" w:type="dxa"/>
          </w:tcPr>
          <w:p w:rsidR="001C0D62" w:rsidRDefault="001C0D62">
            <w:pPr>
              <w:autoSpaceDE w:val="0"/>
              <w:autoSpaceDN w:val="0"/>
              <w:adjustRightInd w:val="0"/>
              <w:rPr>
                <w:rFonts w:ascii="Arial" w:hAnsi="Arial" w:cs="Arial"/>
              </w:rPr>
            </w:pPr>
            <w:r>
              <w:rPr>
                <w:rFonts w:ascii="Arial" w:hAnsi="Arial" w:cs="Arial"/>
              </w:rPr>
              <w:t>.4227</w:t>
            </w:r>
          </w:p>
        </w:tc>
        <w:tc>
          <w:tcPr>
            <w:tcW w:w="1440" w:type="dxa"/>
          </w:tcPr>
          <w:p w:rsidR="001C0D62" w:rsidRDefault="001C0D62">
            <w:pPr>
              <w:autoSpaceDE w:val="0"/>
              <w:autoSpaceDN w:val="0"/>
              <w:adjustRightInd w:val="0"/>
              <w:rPr>
                <w:rFonts w:ascii="Arial" w:hAnsi="Arial" w:cs="Arial"/>
              </w:rPr>
            </w:pPr>
            <w:r>
              <w:rPr>
                <w:rFonts w:ascii="Arial" w:hAnsi="Arial" w:cs="Arial"/>
              </w:rPr>
              <w:t>.4921</w:t>
            </w:r>
          </w:p>
        </w:tc>
        <w:tc>
          <w:tcPr>
            <w:tcW w:w="1260" w:type="dxa"/>
          </w:tcPr>
          <w:p w:rsidR="001C0D62" w:rsidRDefault="001C0D62">
            <w:pPr>
              <w:autoSpaceDE w:val="0"/>
              <w:autoSpaceDN w:val="0"/>
              <w:adjustRightInd w:val="0"/>
              <w:rPr>
                <w:rFonts w:ascii="Arial" w:hAnsi="Arial" w:cs="Arial"/>
              </w:rPr>
            </w:pPr>
            <w:r>
              <w:rPr>
                <w:rFonts w:ascii="Arial" w:hAnsi="Arial" w:cs="Arial"/>
              </w:rPr>
              <w:t>.5368</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21</w:t>
            </w:r>
          </w:p>
        </w:tc>
        <w:tc>
          <w:tcPr>
            <w:tcW w:w="1800" w:type="dxa"/>
          </w:tcPr>
          <w:p w:rsidR="001C0D62" w:rsidRDefault="001C0D62">
            <w:pPr>
              <w:autoSpaceDE w:val="0"/>
              <w:autoSpaceDN w:val="0"/>
              <w:adjustRightInd w:val="0"/>
              <w:rPr>
                <w:rFonts w:ascii="Arial" w:hAnsi="Arial" w:cs="Arial"/>
              </w:rPr>
            </w:pPr>
            <w:r>
              <w:rPr>
                <w:rFonts w:ascii="Arial" w:hAnsi="Arial" w:cs="Arial"/>
              </w:rPr>
              <w:t>.1481</w:t>
            </w:r>
          </w:p>
        </w:tc>
        <w:tc>
          <w:tcPr>
            <w:tcW w:w="1260" w:type="dxa"/>
          </w:tcPr>
          <w:p w:rsidR="001C0D62" w:rsidRDefault="001C0D62">
            <w:pPr>
              <w:autoSpaceDE w:val="0"/>
              <w:autoSpaceDN w:val="0"/>
              <w:adjustRightInd w:val="0"/>
              <w:rPr>
                <w:rFonts w:ascii="Arial" w:hAnsi="Arial" w:cs="Arial"/>
              </w:rPr>
            </w:pPr>
            <w:r>
              <w:rPr>
                <w:rFonts w:ascii="Arial" w:hAnsi="Arial" w:cs="Arial"/>
              </w:rPr>
              <w:t>.2774</w:t>
            </w:r>
          </w:p>
        </w:tc>
        <w:tc>
          <w:tcPr>
            <w:tcW w:w="1260" w:type="dxa"/>
          </w:tcPr>
          <w:p w:rsidR="001C0D62" w:rsidRDefault="001C0D62">
            <w:pPr>
              <w:autoSpaceDE w:val="0"/>
              <w:autoSpaceDN w:val="0"/>
              <w:adjustRightInd w:val="0"/>
              <w:rPr>
                <w:rFonts w:ascii="Arial" w:hAnsi="Arial" w:cs="Arial"/>
              </w:rPr>
            </w:pPr>
            <w:r>
              <w:rPr>
                <w:rFonts w:ascii="Arial" w:hAnsi="Arial" w:cs="Arial"/>
              </w:rPr>
              <w:t>.3515</w:t>
            </w:r>
          </w:p>
        </w:tc>
        <w:tc>
          <w:tcPr>
            <w:tcW w:w="1080" w:type="dxa"/>
          </w:tcPr>
          <w:p w:rsidR="001C0D62" w:rsidRDefault="001C0D62">
            <w:pPr>
              <w:autoSpaceDE w:val="0"/>
              <w:autoSpaceDN w:val="0"/>
              <w:adjustRightInd w:val="0"/>
              <w:rPr>
                <w:rFonts w:ascii="Arial" w:hAnsi="Arial" w:cs="Arial"/>
              </w:rPr>
            </w:pPr>
            <w:r>
              <w:rPr>
                <w:rFonts w:ascii="Arial" w:hAnsi="Arial" w:cs="Arial"/>
              </w:rPr>
              <w:t>.4132</w:t>
            </w:r>
          </w:p>
        </w:tc>
        <w:tc>
          <w:tcPr>
            <w:tcW w:w="1440" w:type="dxa"/>
          </w:tcPr>
          <w:p w:rsidR="001C0D62" w:rsidRDefault="001C0D62">
            <w:pPr>
              <w:autoSpaceDE w:val="0"/>
              <w:autoSpaceDN w:val="0"/>
              <w:adjustRightInd w:val="0"/>
              <w:rPr>
                <w:rFonts w:ascii="Arial" w:hAnsi="Arial" w:cs="Arial"/>
              </w:rPr>
            </w:pPr>
            <w:r>
              <w:rPr>
                <w:rFonts w:ascii="Arial" w:hAnsi="Arial" w:cs="Arial"/>
              </w:rPr>
              <w:t>.4815</w:t>
            </w:r>
          </w:p>
        </w:tc>
        <w:tc>
          <w:tcPr>
            <w:tcW w:w="1260" w:type="dxa"/>
          </w:tcPr>
          <w:p w:rsidR="001C0D62" w:rsidRDefault="001C0D62">
            <w:pPr>
              <w:autoSpaceDE w:val="0"/>
              <w:autoSpaceDN w:val="0"/>
              <w:adjustRightInd w:val="0"/>
              <w:rPr>
                <w:rFonts w:ascii="Arial" w:hAnsi="Arial" w:cs="Arial"/>
              </w:rPr>
            </w:pPr>
            <w:r>
              <w:rPr>
                <w:rFonts w:ascii="Arial" w:hAnsi="Arial" w:cs="Arial"/>
              </w:rPr>
              <w:t>.5256</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22</w:t>
            </w:r>
          </w:p>
        </w:tc>
        <w:tc>
          <w:tcPr>
            <w:tcW w:w="1800" w:type="dxa"/>
          </w:tcPr>
          <w:p w:rsidR="001C0D62" w:rsidRDefault="001C0D62">
            <w:pPr>
              <w:autoSpaceDE w:val="0"/>
              <w:autoSpaceDN w:val="0"/>
              <w:adjustRightInd w:val="0"/>
              <w:rPr>
                <w:rFonts w:ascii="Arial" w:hAnsi="Arial" w:cs="Arial"/>
              </w:rPr>
            </w:pPr>
            <w:r>
              <w:rPr>
                <w:rFonts w:ascii="Arial" w:hAnsi="Arial" w:cs="Arial"/>
              </w:rPr>
              <w:t>.1447</w:t>
            </w:r>
          </w:p>
        </w:tc>
        <w:tc>
          <w:tcPr>
            <w:tcW w:w="1260" w:type="dxa"/>
          </w:tcPr>
          <w:p w:rsidR="001C0D62" w:rsidRDefault="001C0D62">
            <w:pPr>
              <w:autoSpaceDE w:val="0"/>
              <w:autoSpaceDN w:val="0"/>
              <w:adjustRightInd w:val="0"/>
              <w:rPr>
                <w:rFonts w:ascii="Arial" w:hAnsi="Arial" w:cs="Arial"/>
              </w:rPr>
            </w:pPr>
            <w:r>
              <w:rPr>
                <w:rFonts w:ascii="Arial" w:hAnsi="Arial" w:cs="Arial"/>
              </w:rPr>
              <w:t>.2711</w:t>
            </w:r>
          </w:p>
        </w:tc>
        <w:tc>
          <w:tcPr>
            <w:tcW w:w="1260" w:type="dxa"/>
          </w:tcPr>
          <w:p w:rsidR="001C0D62" w:rsidRDefault="001C0D62">
            <w:pPr>
              <w:autoSpaceDE w:val="0"/>
              <w:autoSpaceDN w:val="0"/>
              <w:adjustRightInd w:val="0"/>
              <w:rPr>
                <w:rFonts w:ascii="Arial" w:hAnsi="Arial" w:cs="Arial"/>
              </w:rPr>
            </w:pPr>
            <w:r>
              <w:rPr>
                <w:rFonts w:ascii="Arial" w:hAnsi="Arial" w:cs="Arial"/>
              </w:rPr>
              <w:t>.3438</w:t>
            </w:r>
          </w:p>
        </w:tc>
        <w:tc>
          <w:tcPr>
            <w:tcW w:w="1080" w:type="dxa"/>
          </w:tcPr>
          <w:p w:rsidR="001C0D62" w:rsidRDefault="001C0D62">
            <w:pPr>
              <w:autoSpaceDE w:val="0"/>
              <w:autoSpaceDN w:val="0"/>
              <w:adjustRightInd w:val="0"/>
              <w:rPr>
                <w:rFonts w:ascii="Arial" w:hAnsi="Arial" w:cs="Arial"/>
              </w:rPr>
            </w:pPr>
            <w:r>
              <w:rPr>
                <w:rFonts w:ascii="Arial" w:hAnsi="Arial" w:cs="Arial"/>
              </w:rPr>
              <w:t>.4044</w:t>
            </w:r>
          </w:p>
        </w:tc>
        <w:tc>
          <w:tcPr>
            <w:tcW w:w="1440" w:type="dxa"/>
          </w:tcPr>
          <w:p w:rsidR="001C0D62" w:rsidRDefault="001C0D62">
            <w:pPr>
              <w:autoSpaceDE w:val="0"/>
              <w:autoSpaceDN w:val="0"/>
              <w:adjustRightInd w:val="0"/>
              <w:rPr>
                <w:rFonts w:ascii="Arial" w:hAnsi="Arial" w:cs="Arial"/>
              </w:rPr>
            </w:pPr>
            <w:r>
              <w:rPr>
                <w:rFonts w:ascii="Arial" w:hAnsi="Arial" w:cs="Arial"/>
              </w:rPr>
              <w:t>.4716</w:t>
            </w:r>
          </w:p>
        </w:tc>
        <w:tc>
          <w:tcPr>
            <w:tcW w:w="1260" w:type="dxa"/>
          </w:tcPr>
          <w:p w:rsidR="001C0D62" w:rsidRDefault="001C0D62">
            <w:pPr>
              <w:autoSpaceDE w:val="0"/>
              <w:autoSpaceDN w:val="0"/>
              <w:adjustRightInd w:val="0"/>
              <w:rPr>
                <w:rFonts w:ascii="Arial" w:hAnsi="Arial" w:cs="Arial"/>
              </w:rPr>
            </w:pPr>
            <w:r>
              <w:rPr>
                <w:rFonts w:ascii="Arial" w:hAnsi="Arial" w:cs="Arial"/>
              </w:rPr>
              <w:t>.5151</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23</w:t>
            </w:r>
          </w:p>
        </w:tc>
        <w:tc>
          <w:tcPr>
            <w:tcW w:w="1800" w:type="dxa"/>
          </w:tcPr>
          <w:p w:rsidR="001C0D62" w:rsidRDefault="001C0D62">
            <w:pPr>
              <w:autoSpaceDE w:val="0"/>
              <w:autoSpaceDN w:val="0"/>
              <w:adjustRightInd w:val="0"/>
              <w:rPr>
                <w:rFonts w:ascii="Arial" w:hAnsi="Arial" w:cs="Arial"/>
              </w:rPr>
            </w:pPr>
            <w:r>
              <w:rPr>
                <w:rFonts w:ascii="Arial" w:hAnsi="Arial" w:cs="Arial"/>
              </w:rPr>
              <w:t>.1415</w:t>
            </w:r>
          </w:p>
        </w:tc>
        <w:tc>
          <w:tcPr>
            <w:tcW w:w="1260" w:type="dxa"/>
          </w:tcPr>
          <w:p w:rsidR="001C0D62" w:rsidRDefault="001C0D62">
            <w:pPr>
              <w:autoSpaceDE w:val="0"/>
              <w:autoSpaceDN w:val="0"/>
              <w:adjustRightInd w:val="0"/>
              <w:rPr>
                <w:rFonts w:ascii="Arial" w:hAnsi="Arial" w:cs="Arial"/>
              </w:rPr>
            </w:pPr>
            <w:r>
              <w:rPr>
                <w:rFonts w:ascii="Arial" w:hAnsi="Arial" w:cs="Arial"/>
              </w:rPr>
              <w:t>.2653</w:t>
            </w:r>
          </w:p>
        </w:tc>
        <w:tc>
          <w:tcPr>
            <w:tcW w:w="1260" w:type="dxa"/>
          </w:tcPr>
          <w:p w:rsidR="001C0D62" w:rsidRDefault="001C0D62">
            <w:pPr>
              <w:autoSpaceDE w:val="0"/>
              <w:autoSpaceDN w:val="0"/>
              <w:adjustRightInd w:val="0"/>
              <w:rPr>
                <w:rFonts w:ascii="Arial" w:hAnsi="Arial" w:cs="Arial"/>
              </w:rPr>
            </w:pPr>
            <w:r>
              <w:rPr>
                <w:rFonts w:ascii="Arial" w:hAnsi="Arial" w:cs="Arial"/>
              </w:rPr>
              <w:t>.3365</w:t>
            </w:r>
          </w:p>
        </w:tc>
        <w:tc>
          <w:tcPr>
            <w:tcW w:w="1080" w:type="dxa"/>
          </w:tcPr>
          <w:p w:rsidR="001C0D62" w:rsidRDefault="001C0D62">
            <w:pPr>
              <w:autoSpaceDE w:val="0"/>
              <w:autoSpaceDN w:val="0"/>
              <w:adjustRightInd w:val="0"/>
              <w:rPr>
                <w:rFonts w:ascii="Arial" w:hAnsi="Arial" w:cs="Arial"/>
              </w:rPr>
            </w:pPr>
            <w:r>
              <w:rPr>
                <w:rFonts w:ascii="Arial" w:hAnsi="Arial" w:cs="Arial"/>
              </w:rPr>
              <w:t>.3961</w:t>
            </w:r>
          </w:p>
        </w:tc>
        <w:tc>
          <w:tcPr>
            <w:tcW w:w="1440" w:type="dxa"/>
          </w:tcPr>
          <w:p w:rsidR="001C0D62" w:rsidRDefault="001C0D62">
            <w:pPr>
              <w:autoSpaceDE w:val="0"/>
              <w:autoSpaceDN w:val="0"/>
              <w:adjustRightInd w:val="0"/>
              <w:rPr>
                <w:rFonts w:ascii="Arial" w:hAnsi="Arial" w:cs="Arial"/>
              </w:rPr>
            </w:pPr>
            <w:r>
              <w:rPr>
                <w:rFonts w:ascii="Arial" w:hAnsi="Arial" w:cs="Arial"/>
              </w:rPr>
              <w:t>.4622</w:t>
            </w:r>
          </w:p>
        </w:tc>
        <w:tc>
          <w:tcPr>
            <w:tcW w:w="1260" w:type="dxa"/>
          </w:tcPr>
          <w:p w:rsidR="001C0D62" w:rsidRDefault="001C0D62">
            <w:pPr>
              <w:autoSpaceDE w:val="0"/>
              <w:autoSpaceDN w:val="0"/>
              <w:adjustRightInd w:val="0"/>
              <w:rPr>
                <w:rFonts w:ascii="Arial" w:hAnsi="Arial" w:cs="Arial"/>
              </w:rPr>
            </w:pPr>
            <w:r>
              <w:rPr>
                <w:rFonts w:ascii="Arial" w:hAnsi="Arial" w:cs="Arial"/>
              </w:rPr>
              <w:t>.5052</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24</w:t>
            </w:r>
          </w:p>
        </w:tc>
        <w:tc>
          <w:tcPr>
            <w:tcW w:w="1800" w:type="dxa"/>
          </w:tcPr>
          <w:p w:rsidR="001C0D62" w:rsidRDefault="001C0D62">
            <w:pPr>
              <w:autoSpaceDE w:val="0"/>
              <w:autoSpaceDN w:val="0"/>
              <w:adjustRightInd w:val="0"/>
              <w:rPr>
                <w:rFonts w:ascii="Arial" w:hAnsi="Arial" w:cs="Arial"/>
              </w:rPr>
            </w:pPr>
            <w:r>
              <w:rPr>
                <w:rFonts w:ascii="Arial" w:hAnsi="Arial" w:cs="Arial"/>
              </w:rPr>
              <w:t>.1384</w:t>
            </w:r>
          </w:p>
        </w:tc>
        <w:tc>
          <w:tcPr>
            <w:tcW w:w="1260" w:type="dxa"/>
          </w:tcPr>
          <w:p w:rsidR="001C0D62" w:rsidRDefault="001C0D62">
            <w:pPr>
              <w:autoSpaceDE w:val="0"/>
              <w:autoSpaceDN w:val="0"/>
              <w:adjustRightInd w:val="0"/>
              <w:rPr>
                <w:rFonts w:ascii="Arial" w:hAnsi="Arial" w:cs="Arial"/>
              </w:rPr>
            </w:pPr>
            <w:r>
              <w:rPr>
                <w:rFonts w:ascii="Arial" w:hAnsi="Arial" w:cs="Arial"/>
              </w:rPr>
              <w:t>.2598</w:t>
            </w:r>
          </w:p>
        </w:tc>
        <w:tc>
          <w:tcPr>
            <w:tcW w:w="1260" w:type="dxa"/>
          </w:tcPr>
          <w:p w:rsidR="001C0D62" w:rsidRDefault="001C0D62">
            <w:pPr>
              <w:autoSpaceDE w:val="0"/>
              <w:autoSpaceDN w:val="0"/>
              <w:adjustRightInd w:val="0"/>
              <w:rPr>
                <w:rFonts w:ascii="Arial" w:hAnsi="Arial" w:cs="Arial"/>
              </w:rPr>
            </w:pPr>
            <w:r>
              <w:rPr>
                <w:rFonts w:ascii="Arial" w:hAnsi="Arial" w:cs="Arial"/>
              </w:rPr>
              <w:t>.3297</w:t>
            </w:r>
          </w:p>
        </w:tc>
        <w:tc>
          <w:tcPr>
            <w:tcW w:w="1080" w:type="dxa"/>
          </w:tcPr>
          <w:p w:rsidR="001C0D62" w:rsidRDefault="001C0D62">
            <w:pPr>
              <w:autoSpaceDE w:val="0"/>
              <w:autoSpaceDN w:val="0"/>
              <w:adjustRightInd w:val="0"/>
              <w:rPr>
                <w:rFonts w:ascii="Arial" w:hAnsi="Arial" w:cs="Arial"/>
              </w:rPr>
            </w:pPr>
            <w:r>
              <w:rPr>
                <w:rFonts w:ascii="Arial" w:hAnsi="Arial" w:cs="Arial"/>
              </w:rPr>
              <w:t>.3882</w:t>
            </w:r>
          </w:p>
        </w:tc>
        <w:tc>
          <w:tcPr>
            <w:tcW w:w="1440" w:type="dxa"/>
          </w:tcPr>
          <w:p w:rsidR="001C0D62" w:rsidRDefault="001C0D62">
            <w:pPr>
              <w:autoSpaceDE w:val="0"/>
              <w:autoSpaceDN w:val="0"/>
              <w:adjustRightInd w:val="0"/>
              <w:rPr>
                <w:rFonts w:ascii="Arial" w:hAnsi="Arial" w:cs="Arial"/>
              </w:rPr>
            </w:pPr>
            <w:r>
              <w:rPr>
                <w:rFonts w:ascii="Arial" w:hAnsi="Arial" w:cs="Arial"/>
              </w:rPr>
              <w:t>.4534</w:t>
            </w:r>
          </w:p>
        </w:tc>
        <w:tc>
          <w:tcPr>
            <w:tcW w:w="1260" w:type="dxa"/>
          </w:tcPr>
          <w:p w:rsidR="001C0D62" w:rsidRDefault="001C0D62">
            <w:pPr>
              <w:autoSpaceDE w:val="0"/>
              <w:autoSpaceDN w:val="0"/>
              <w:adjustRightInd w:val="0"/>
              <w:rPr>
                <w:rFonts w:ascii="Arial" w:hAnsi="Arial" w:cs="Arial"/>
              </w:rPr>
            </w:pPr>
            <w:r>
              <w:rPr>
                <w:rFonts w:ascii="Arial" w:hAnsi="Arial" w:cs="Arial"/>
              </w:rPr>
              <w:t>.4958</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25</w:t>
            </w:r>
          </w:p>
        </w:tc>
        <w:tc>
          <w:tcPr>
            <w:tcW w:w="1800" w:type="dxa"/>
          </w:tcPr>
          <w:p w:rsidR="001C0D62" w:rsidRDefault="001C0D62">
            <w:pPr>
              <w:autoSpaceDE w:val="0"/>
              <w:autoSpaceDN w:val="0"/>
              <w:adjustRightInd w:val="0"/>
              <w:rPr>
                <w:rFonts w:ascii="Arial" w:hAnsi="Arial" w:cs="Arial"/>
              </w:rPr>
            </w:pPr>
            <w:r>
              <w:rPr>
                <w:rFonts w:ascii="Arial" w:hAnsi="Arial" w:cs="Arial"/>
              </w:rPr>
              <w:t>.1356</w:t>
            </w:r>
          </w:p>
        </w:tc>
        <w:tc>
          <w:tcPr>
            <w:tcW w:w="1260" w:type="dxa"/>
          </w:tcPr>
          <w:p w:rsidR="001C0D62" w:rsidRDefault="001C0D62">
            <w:pPr>
              <w:autoSpaceDE w:val="0"/>
              <w:autoSpaceDN w:val="0"/>
              <w:adjustRightInd w:val="0"/>
              <w:rPr>
                <w:rFonts w:ascii="Arial" w:hAnsi="Arial" w:cs="Arial"/>
              </w:rPr>
            </w:pPr>
            <w:r>
              <w:rPr>
                <w:rFonts w:ascii="Arial" w:hAnsi="Arial" w:cs="Arial"/>
              </w:rPr>
              <w:t>.2546</w:t>
            </w:r>
          </w:p>
        </w:tc>
        <w:tc>
          <w:tcPr>
            <w:tcW w:w="1260" w:type="dxa"/>
          </w:tcPr>
          <w:p w:rsidR="001C0D62" w:rsidRDefault="001C0D62">
            <w:pPr>
              <w:autoSpaceDE w:val="0"/>
              <w:autoSpaceDN w:val="0"/>
              <w:adjustRightInd w:val="0"/>
              <w:rPr>
                <w:rFonts w:ascii="Arial" w:hAnsi="Arial" w:cs="Arial"/>
              </w:rPr>
            </w:pPr>
            <w:r>
              <w:rPr>
                <w:rFonts w:ascii="Arial" w:hAnsi="Arial" w:cs="Arial"/>
              </w:rPr>
              <w:t>.3233</w:t>
            </w:r>
          </w:p>
        </w:tc>
        <w:tc>
          <w:tcPr>
            <w:tcW w:w="1080" w:type="dxa"/>
          </w:tcPr>
          <w:p w:rsidR="001C0D62" w:rsidRDefault="001C0D62">
            <w:pPr>
              <w:autoSpaceDE w:val="0"/>
              <w:autoSpaceDN w:val="0"/>
              <w:adjustRightInd w:val="0"/>
              <w:rPr>
                <w:rFonts w:ascii="Arial" w:hAnsi="Arial" w:cs="Arial"/>
              </w:rPr>
            </w:pPr>
            <w:r>
              <w:rPr>
                <w:rFonts w:ascii="Arial" w:hAnsi="Arial" w:cs="Arial"/>
              </w:rPr>
              <w:t>.3809</w:t>
            </w:r>
          </w:p>
        </w:tc>
        <w:tc>
          <w:tcPr>
            <w:tcW w:w="1440" w:type="dxa"/>
          </w:tcPr>
          <w:p w:rsidR="001C0D62" w:rsidRDefault="001C0D62">
            <w:pPr>
              <w:autoSpaceDE w:val="0"/>
              <w:autoSpaceDN w:val="0"/>
              <w:adjustRightInd w:val="0"/>
              <w:rPr>
                <w:rFonts w:ascii="Arial" w:hAnsi="Arial" w:cs="Arial"/>
              </w:rPr>
            </w:pPr>
            <w:r>
              <w:rPr>
                <w:rFonts w:ascii="Arial" w:hAnsi="Arial" w:cs="Arial"/>
              </w:rPr>
              <w:t>.4451</w:t>
            </w:r>
          </w:p>
        </w:tc>
        <w:tc>
          <w:tcPr>
            <w:tcW w:w="1260" w:type="dxa"/>
          </w:tcPr>
          <w:p w:rsidR="001C0D62" w:rsidRDefault="001C0D62">
            <w:pPr>
              <w:autoSpaceDE w:val="0"/>
              <w:autoSpaceDN w:val="0"/>
              <w:adjustRightInd w:val="0"/>
              <w:rPr>
                <w:rFonts w:ascii="Arial" w:hAnsi="Arial" w:cs="Arial"/>
              </w:rPr>
            </w:pPr>
            <w:r>
              <w:rPr>
                <w:rFonts w:ascii="Arial" w:hAnsi="Arial" w:cs="Arial"/>
              </w:rPr>
              <w:t>.4869</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26</w:t>
            </w:r>
          </w:p>
        </w:tc>
        <w:tc>
          <w:tcPr>
            <w:tcW w:w="1800" w:type="dxa"/>
          </w:tcPr>
          <w:p w:rsidR="001C0D62" w:rsidRDefault="001C0D62">
            <w:pPr>
              <w:autoSpaceDE w:val="0"/>
              <w:autoSpaceDN w:val="0"/>
              <w:adjustRightInd w:val="0"/>
              <w:rPr>
                <w:rFonts w:ascii="Arial" w:hAnsi="Arial" w:cs="Arial"/>
              </w:rPr>
            </w:pPr>
            <w:r>
              <w:rPr>
                <w:rFonts w:ascii="Arial" w:hAnsi="Arial" w:cs="Arial"/>
              </w:rPr>
              <w:t>.1330</w:t>
            </w:r>
          </w:p>
        </w:tc>
        <w:tc>
          <w:tcPr>
            <w:tcW w:w="1260" w:type="dxa"/>
          </w:tcPr>
          <w:p w:rsidR="001C0D62" w:rsidRDefault="001C0D62">
            <w:pPr>
              <w:autoSpaceDE w:val="0"/>
              <w:autoSpaceDN w:val="0"/>
              <w:adjustRightInd w:val="0"/>
              <w:rPr>
                <w:rFonts w:ascii="Arial" w:hAnsi="Arial" w:cs="Arial"/>
              </w:rPr>
            </w:pPr>
            <w:r>
              <w:rPr>
                <w:rFonts w:ascii="Arial" w:hAnsi="Arial" w:cs="Arial"/>
              </w:rPr>
              <w:t>.2497</w:t>
            </w:r>
          </w:p>
        </w:tc>
        <w:tc>
          <w:tcPr>
            <w:tcW w:w="1260" w:type="dxa"/>
          </w:tcPr>
          <w:p w:rsidR="001C0D62" w:rsidRDefault="001C0D62">
            <w:pPr>
              <w:autoSpaceDE w:val="0"/>
              <w:autoSpaceDN w:val="0"/>
              <w:adjustRightInd w:val="0"/>
              <w:rPr>
                <w:rFonts w:ascii="Arial" w:hAnsi="Arial" w:cs="Arial"/>
              </w:rPr>
            </w:pPr>
            <w:r>
              <w:rPr>
                <w:rFonts w:ascii="Arial" w:hAnsi="Arial" w:cs="Arial"/>
              </w:rPr>
              <w:t>.3172</w:t>
            </w:r>
          </w:p>
        </w:tc>
        <w:tc>
          <w:tcPr>
            <w:tcW w:w="1080" w:type="dxa"/>
          </w:tcPr>
          <w:p w:rsidR="001C0D62" w:rsidRDefault="001C0D62">
            <w:pPr>
              <w:autoSpaceDE w:val="0"/>
              <w:autoSpaceDN w:val="0"/>
              <w:adjustRightInd w:val="0"/>
              <w:rPr>
                <w:rFonts w:ascii="Arial" w:hAnsi="Arial" w:cs="Arial"/>
              </w:rPr>
            </w:pPr>
            <w:r>
              <w:rPr>
                <w:rFonts w:ascii="Arial" w:hAnsi="Arial" w:cs="Arial"/>
              </w:rPr>
              <w:t>.3739</w:t>
            </w:r>
          </w:p>
        </w:tc>
        <w:tc>
          <w:tcPr>
            <w:tcW w:w="1440" w:type="dxa"/>
          </w:tcPr>
          <w:p w:rsidR="001C0D62" w:rsidRDefault="001C0D62">
            <w:pPr>
              <w:autoSpaceDE w:val="0"/>
              <w:autoSpaceDN w:val="0"/>
              <w:adjustRightInd w:val="0"/>
              <w:rPr>
                <w:rFonts w:ascii="Arial" w:hAnsi="Arial" w:cs="Arial"/>
              </w:rPr>
            </w:pPr>
            <w:r>
              <w:rPr>
                <w:rFonts w:ascii="Arial" w:hAnsi="Arial" w:cs="Arial"/>
              </w:rPr>
              <w:t>.4372</w:t>
            </w:r>
          </w:p>
        </w:tc>
        <w:tc>
          <w:tcPr>
            <w:tcW w:w="1260" w:type="dxa"/>
          </w:tcPr>
          <w:p w:rsidR="001C0D62" w:rsidRDefault="001C0D62">
            <w:pPr>
              <w:autoSpaceDE w:val="0"/>
              <w:autoSpaceDN w:val="0"/>
              <w:adjustRightInd w:val="0"/>
              <w:rPr>
                <w:rFonts w:ascii="Arial" w:hAnsi="Arial" w:cs="Arial"/>
              </w:rPr>
            </w:pPr>
            <w:r>
              <w:rPr>
                <w:rFonts w:ascii="Arial" w:hAnsi="Arial" w:cs="Arial"/>
              </w:rPr>
              <w:t>.4785</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27</w:t>
            </w:r>
          </w:p>
        </w:tc>
        <w:tc>
          <w:tcPr>
            <w:tcW w:w="1800" w:type="dxa"/>
          </w:tcPr>
          <w:p w:rsidR="001C0D62" w:rsidRDefault="001C0D62">
            <w:pPr>
              <w:autoSpaceDE w:val="0"/>
              <w:autoSpaceDN w:val="0"/>
              <w:adjustRightInd w:val="0"/>
              <w:rPr>
                <w:rFonts w:ascii="Arial" w:hAnsi="Arial" w:cs="Arial"/>
              </w:rPr>
            </w:pPr>
            <w:r>
              <w:rPr>
                <w:rFonts w:ascii="Arial" w:hAnsi="Arial" w:cs="Arial"/>
              </w:rPr>
              <w:t>.1305</w:t>
            </w:r>
          </w:p>
        </w:tc>
        <w:tc>
          <w:tcPr>
            <w:tcW w:w="1260" w:type="dxa"/>
          </w:tcPr>
          <w:p w:rsidR="001C0D62" w:rsidRDefault="001C0D62">
            <w:pPr>
              <w:autoSpaceDE w:val="0"/>
              <w:autoSpaceDN w:val="0"/>
              <w:adjustRightInd w:val="0"/>
              <w:rPr>
                <w:rFonts w:ascii="Arial" w:hAnsi="Arial" w:cs="Arial"/>
              </w:rPr>
            </w:pPr>
            <w:r>
              <w:rPr>
                <w:rFonts w:ascii="Arial" w:hAnsi="Arial" w:cs="Arial"/>
              </w:rPr>
              <w:t>.2451</w:t>
            </w:r>
          </w:p>
        </w:tc>
        <w:tc>
          <w:tcPr>
            <w:tcW w:w="1260" w:type="dxa"/>
          </w:tcPr>
          <w:p w:rsidR="001C0D62" w:rsidRDefault="001C0D62">
            <w:pPr>
              <w:autoSpaceDE w:val="0"/>
              <w:autoSpaceDN w:val="0"/>
              <w:adjustRightInd w:val="0"/>
              <w:rPr>
                <w:rFonts w:ascii="Arial" w:hAnsi="Arial" w:cs="Arial"/>
              </w:rPr>
            </w:pPr>
            <w:r>
              <w:rPr>
                <w:rFonts w:ascii="Arial" w:hAnsi="Arial" w:cs="Arial"/>
              </w:rPr>
              <w:t>.3115</w:t>
            </w:r>
          </w:p>
        </w:tc>
        <w:tc>
          <w:tcPr>
            <w:tcW w:w="1080" w:type="dxa"/>
          </w:tcPr>
          <w:p w:rsidR="001C0D62" w:rsidRDefault="001C0D62">
            <w:pPr>
              <w:autoSpaceDE w:val="0"/>
              <w:autoSpaceDN w:val="0"/>
              <w:adjustRightInd w:val="0"/>
              <w:rPr>
                <w:rFonts w:ascii="Arial" w:hAnsi="Arial" w:cs="Arial"/>
              </w:rPr>
            </w:pPr>
            <w:r>
              <w:rPr>
                <w:rFonts w:ascii="Arial" w:hAnsi="Arial" w:cs="Arial"/>
              </w:rPr>
              <w:t>.3673</w:t>
            </w:r>
          </w:p>
        </w:tc>
        <w:tc>
          <w:tcPr>
            <w:tcW w:w="1440" w:type="dxa"/>
          </w:tcPr>
          <w:p w:rsidR="001C0D62" w:rsidRDefault="001C0D62">
            <w:pPr>
              <w:autoSpaceDE w:val="0"/>
              <w:autoSpaceDN w:val="0"/>
              <w:adjustRightInd w:val="0"/>
              <w:rPr>
                <w:rFonts w:ascii="Arial" w:hAnsi="Arial" w:cs="Arial"/>
              </w:rPr>
            </w:pPr>
            <w:r>
              <w:rPr>
                <w:rFonts w:ascii="Arial" w:hAnsi="Arial" w:cs="Arial"/>
              </w:rPr>
              <w:t>.4297</w:t>
            </w:r>
          </w:p>
        </w:tc>
        <w:tc>
          <w:tcPr>
            <w:tcW w:w="1260" w:type="dxa"/>
          </w:tcPr>
          <w:p w:rsidR="001C0D62" w:rsidRDefault="001C0D62">
            <w:pPr>
              <w:autoSpaceDE w:val="0"/>
              <w:autoSpaceDN w:val="0"/>
              <w:adjustRightInd w:val="0"/>
              <w:rPr>
                <w:rFonts w:ascii="Arial" w:hAnsi="Arial" w:cs="Arial"/>
              </w:rPr>
            </w:pPr>
            <w:r>
              <w:rPr>
                <w:rFonts w:ascii="Arial" w:hAnsi="Arial" w:cs="Arial"/>
              </w:rPr>
              <w:t>.4705</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28</w:t>
            </w:r>
          </w:p>
        </w:tc>
        <w:tc>
          <w:tcPr>
            <w:tcW w:w="1800" w:type="dxa"/>
          </w:tcPr>
          <w:p w:rsidR="001C0D62" w:rsidRDefault="001C0D62">
            <w:pPr>
              <w:autoSpaceDE w:val="0"/>
              <w:autoSpaceDN w:val="0"/>
              <w:adjustRightInd w:val="0"/>
              <w:rPr>
                <w:rFonts w:ascii="Arial" w:hAnsi="Arial" w:cs="Arial"/>
              </w:rPr>
            </w:pPr>
            <w:r>
              <w:rPr>
                <w:rFonts w:ascii="Arial" w:hAnsi="Arial" w:cs="Arial"/>
              </w:rPr>
              <w:t>.1281</w:t>
            </w:r>
          </w:p>
        </w:tc>
        <w:tc>
          <w:tcPr>
            <w:tcW w:w="1260" w:type="dxa"/>
          </w:tcPr>
          <w:p w:rsidR="001C0D62" w:rsidRDefault="001C0D62">
            <w:pPr>
              <w:autoSpaceDE w:val="0"/>
              <w:autoSpaceDN w:val="0"/>
              <w:adjustRightInd w:val="0"/>
              <w:rPr>
                <w:rFonts w:ascii="Arial" w:hAnsi="Arial" w:cs="Arial"/>
              </w:rPr>
            </w:pPr>
            <w:r>
              <w:rPr>
                <w:rFonts w:ascii="Arial" w:hAnsi="Arial" w:cs="Arial"/>
              </w:rPr>
              <w:t>.2407</w:t>
            </w:r>
          </w:p>
        </w:tc>
        <w:tc>
          <w:tcPr>
            <w:tcW w:w="1260" w:type="dxa"/>
          </w:tcPr>
          <w:p w:rsidR="001C0D62" w:rsidRDefault="001C0D62">
            <w:pPr>
              <w:autoSpaceDE w:val="0"/>
              <w:autoSpaceDN w:val="0"/>
              <w:adjustRightInd w:val="0"/>
              <w:rPr>
                <w:rFonts w:ascii="Arial" w:hAnsi="Arial" w:cs="Arial"/>
              </w:rPr>
            </w:pPr>
            <w:r>
              <w:rPr>
                <w:rFonts w:ascii="Arial" w:hAnsi="Arial" w:cs="Arial"/>
              </w:rPr>
              <w:t>.3061</w:t>
            </w:r>
          </w:p>
        </w:tc>
        <w:tc>
          <w:tcPr>
            <w:tcW w:w="1080" w:type="dxa"/>
          </w:tcPr>
          <w:p w:rsidR="001C0D62" w:rsidRDefault="001C0D62">
            <w:pPr>
              <w:autoSpaceDE w:val="0"/>
              <w:autoSpaceDN w:val="0"/>
              <w:adjustRightInd w:val="0"/>
              <w:rPr>
                <w:rFonts w:ascii="Arial" w:hAnsi="Arial" w:cs="Arial"/>
              </w:rPr>
            </w:pPr>
            <w:r>
              <w:rPr>
                <w:rFonts w:ascii="Arial" w:hAnsi="Arial" w:cs="Arial"/>
              </w:rPr>
              <w:t>.3610</w:t>
            </w:r>
          </w:p>
        </w:tc>
        <w:tc>
          <w:tcPr>
            <w:tcW w:w="1440" w:type="dxa"/>
          </w:tcPr>
          <w:p w:rsidR="001C0D62" w:rsidRDefault="001C0D62">
            <w:pPr>
              <w:autoSpaceDE w:val="0"/>
              <w:autoSpaceDN w:val="0"/>
              <w:adjustRightInd w:val="0"/>
              <w:rPr>
                <w:rFonts w:ascii="Arial" w:hAnsi="Arial" w:cs="Arial"/>
              </w:rPr>
            </w:pPr>
            <w:r>
              <w:rPr>
                <w:rFonts w:ascii="Arial" w:hAnsi="Arial" w:cs="Arial"/>
              </w:rPr>
              <w:t>.4226</w:t>
            </w:r>
          </w:p>
        </w:tc>
        <w:tc>
          <w:tcPr>
            <w:tcW w:w="1260" w:type="dxa"/>
          </w:tcPr>
          <w:p w:rsidR="001C0D62" w:rsidRDefault="001C0D62">
            <w:pPr>
              <w:autoSpaceDE w:val="0"/>
              <w:autoSpaceDN w:val="0"/>
              <w:adjustRightInd w:val="0"/>
              <w:rPr>
                <w:rFonts w:ascii="Arial" w:hAnsi="Arial" w:cs="Arial"/>
              </w:rPr>
            </w:pPr>
            <w:r>
              <w:rPr>
                <w:rFonts w:ascii="Arial" w:hAnsi="Arial" w:cs="Arial"/>
              </w:rPr>
              <w:t>.4629</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29</w:t>
            </w:r>
          </w:p>
        </w:tc>
        <w:tc>
          <w:tcPr>
            <w:tcW w:w="1800" w:type="dxa"/>
          </w:tcPr>
          <w:p w:rsidR="001C0D62" w:rsidRDefault="001C0D62">
            <w:pPr>
              <w:autoSpaceDE w:val="0"/>
              <w:autoSpaceDN w:val="0"/>
              <w:adjustRightInd w:val="0"/>
              <w:rPr>
                <w:rFonts w:ascii="Arial" w:hAnsi="Arial" w:cs="Arial"/>
              </w:rPr>
            </w:pPr>
            <w:r>
              <w:rPr>
                <w:rFonts w:ascii="Arial" w:hAnsi="Arial" w:cs="Arial"/>
              </w:rPr>
              <w:t>.1258</w:t>
            </w:r>
          </w:p>
        </w:tc>
        <w:tc>
          <w:tcPr>
            <w:tcW w:w="1260" w:type="dxa"/>
          </w:tcPr>
          <w:p w:rsidR="001C0D62" w:rsidRDefault="001C0D62">
            <w:pPr>
              <w:autoSpaceDE w:val="0"/>
              <w:autoSpaceDN w:val="0"/>
              <w:adjustRightInd w:val="0"/>
              <w:rPr>
                <w:rFonts w:ascii="Arial" w:hAnsi="Arial" w:cs="Arial"/>
              </w:rPr>
            </w:pPr>
            <w:r>
              <w:rPr>
                <w:rFonts w:ascii="Arial" w:hAnsi="Arial" w:cs="Arial"/>
              </w:rPr>
              <w:t>.2366</w:t>
            </w:r>
          </w:p>
        </w:tc>
        <w:tc>
          <w:tcPr>
            <w:tcW w:w="1260" w:type="dxa"/>
          </w:tcPr>
          <w:p w:rsidR="001C0D62" w:rsidRDefault="001C0D62">
            <w:pPr>
              <w:autoSpaceDE w:val="0"/>
              <w:autoSpaceDN w:val="0"/>
              <w:adjustRightInd w:val="0"/>
              <w:rPr>
                <w:rFonts w:ascii="Arial" w:hAnsi="Arial" w:cs="Arial"/>
              </w:rPr>
            </w:pPr>
            <w:r>
              <w:rPr>
                <w:rFonts w:ascii="Arial" w:hAnsi="Arial" w:cs="Arial"/>
              </w:rPr>
              <w:t>.3009</w:t>
            </w:r>
          </w:p>
        </w:tc>
        <w:tc>
          <w:tcPr>
            <w:tcW w:w="1080" w:type="dxa"/>
          </w:tcPr>
          <w:p w:rsidR="001C0D62" w:rsidRDefault="001C0D62">
            <w:pPr>
              <w:autoSpaceDE w:val="0"/>
              <w:autoSpaceDN w:val="0"/>
              <w:adjustRightInd w:val="0"/>
              <w:rPr>
                <w:rFonts w:ascii="Arial" w:hAnsi="Arial" w:cs="Arial"/>
              </w:rPr>
            </w:pPr>
            <w:r>
              <w:rPr>
                <w:rFonts w:ascii="Arial" w:hAnsi="Arial" w:cs="Arial"/>
              </w:rPr>
              <w:t>.3550</w:t>
            </w:r>
          </w:p>
        </w:tc>
        <w:tc>
          <w:tcPr>
            <w:tcW w:w="1440" w:type="dxa"/>
          </w:tcPr>
          <w:p w:rsidR="001C0D62" w:rsidRDefault="001C0D62">
            <w:pPr>
              <w:autoSpaceDE w:val="0"/>
              <w:autoSpaceDN w:val="0"/>
              <w:adjustRightInd w:val="0"/>
              <w:rPr>
                <w:rFonts w:ascii="Arial" w:hAnsi="Arial" w:cs="Arial"/>
              </w:rPr>
            </w:pPr>
            <w:r>
              <w:rPr>
                <w:rFonts w:ascii="Arial" w:hAnsi="Arial" w:cs="Arial"/>
              </w:rPr>
              <w:t>.4158</w:t>
            </w:r>
          </w:p>
        </w:tc>
        <w:tc>
          <w:tcPr>
            <w:tcW w:w="1260" w:type="dxa"/>
          </w:tcPr>
          <w:p w:rsidR="001C0D62" w:rsidRDefault="001C0D62">
            <w:pPr>
              <w:autoSpaceDE w:val="0"/>
              <w:autoSpaceDN w:val="0"/>
              <w:adjustRightInd w:val="0"/>
              <w:rPr>
                <w:rFonts w:ascii="Arial" w:hAnsi="Arial" w:cs="Arial"/>
              </w:rPr>
            </w:pPr>
            <w:r>
              <w:rPr>
                <w:rFonts w:ascii="Arial" w:hAnsi="Arial" w:cs="Arial"/>
              </w:rPr>
              <w:t>.4556</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30</w:t>
            </w:r>
          </w:p>
        </w:tc>
        <w:tc>
          <w:tcPr>
            <w:tcW w:w="1800" w:type="dxa"/>
          </w:tcPr>
          <w:p w:rsidR="001C0D62" w:rsidRDefault="001C0D62">
            <w:pPr>
              <w:autoSpaceDE w:val="0"/>
              <w:autoSpaceDN w:val="0"/>
              <w:adjustRightInd w:val="0"/>
              <w:rPr>
                <w:rFonts w:ascii="Arial" w:hAnsi="Arial" w:cs="Arial"/>
              </w:rPr>
            </w:pPr>
            <w:r>
              <w:rPr>
                <w:rFonts w:ascii="Arial" w:hAnsi="Arial" w:cs="Arial"/>
              </w:rPr>
              <w:t>.1237</w:t>
            </w:r>
          </w:p>
        </w:tc>
        <w:tc>
          <w:tcPr>
            <w:tcW w:w="1260" w:type="dxa"/>
          </w:tcPr>
          <w:p w:rsidR="001C0D62" w:rsidRDefault="001C0D62">
            <w:pPr>
              <w:autoSpaceDE w:val="0"/>
              <w:autoSpaceDN w:val="0"/>
              <w:adjustRightInd w:val="0"/>
              <w:rPr>
                <w:rFonts w:ascii="Arial" w:hAnsi="Arial" w:cs="Arial"/>
              </w:rPr>
            </w:pPr>
            <w:r>
              <w:rPr>
                <w:rFonts w:ascii="Arial" w:hAnsi="Arial" w:cs="Arial"/>
              </w:rPr>
              <w:t>.2327</w:t>
            </w:r>
          </w:p>
        </w:tc>
        <w:tc>
          <w:tcPr>
            <w:tcW w:w="1260" w:type="dxa"/>
          </w:tcPr>
          <w:p w:rsidR="001C0D62" w:rsidRDefault="001C0D62">
            <w:pPr>
              <w:autoSpaceDE w:val="0"/>
              <w:autoSpaceDN w:val="0"/>
              <w:adjustRightInd w:val="0"/>
              <w:rPr>
                <w:rFonts w:ascii="Arial" w:hAnsi="Arial" w:cs="Arial"/>
              </w:rPr>
            </w:pPr>
            <w:r>
              <w:rPr>
                <w:rFonts w:ascii="Arial" w:hAnsi="Arial" w:cs="Arial"/>
              </w:rPr>
              <w:t>.2960</w:t>
            </w:r>
          </w:p>
        </w:tc>
        <w:tc>
          <w:tcPr>
            <w:tcW w:w="1080" w:type="dxa"/>
          </w:tcPr>
          <w:p w:rsidR="001C0D62" w:rsidRDefault="001C0D62">
            <w:pPr>
              <w:autoSpaceDE w:val="0"/>
              <w:autoSpaceDN w:val="0"/>
              <w:adjustRightInd w:val="0"/>
              <w:rPr>
                <w:rFonts w:ascii="Arial" w:hAnsi="Arial" w:cs="Arial"/>
              </w:rPr>
            </w:pPr>
            <w:r>
              <w:rPr>
                <w:rFonts w:ascii="Arial" w:hAnsi="Arial" w:cs="Arial"/>
              </w:rPr>
              <w:t>.3494</w:t>
            </w:r>
          </w:p>
        </w:tc>
        <w:tc>
          <w:tcPr>
            <w:tcW w:w="1440" w:type="dxa"/>
          </w:tcPr>
          <w:p w:rsidR="001C0D62" w:rsidRDefault="001C0D62">
            <w:pPr>
              <w:autoSpaceDE w:val="0"/>
              <w:autoSpaceDN w:val="0"/>
              <w:adjustRightInd w:val="0"/>
              <w:rPr>
                <w:rFonts w:ascii="Arial" w:hAnsi="Arial" w:cs="Arial"/>
              </w:rPr>
            </w:pPr>
            <w:r>
              <w:rPr>
                <w:rFonts w:ascii="Arial" w:hAnsi="Arial" w:cs="Arial"/>
              </w:rPr>
              <w:t>.4093</w:t>
            </w:r>
          </w:p>
        </w:tc>
        <w:tc>
          <w:tcPr>
            <w:tcW w:w="1260" w:type="dxa"/>
          </w:tcPr>
          <w:p w:rsidR="001C0D62" w:rsidRDefault="001C0D62">
            <w:pPr>
              <w:autoSpaceDE w:val="0"/>
              <w:autoSpaceDN w:val="0"/>
              <w:adjustRightInd w:val="0"/>
              <w:rPr>
                <w:rFonts w:ascii="Arial" w:hAnsi="Arial" w:cs="Arial"/>
              </w:rPr>
            </w:pPr>
            <w:r>
              <w:rPr>
                <w:rFonts w:ascii="Arial" w:hAnsi="Arial" w:cs="Arial"/>
              </w:rPr>
              <w:t>.4487</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31</w:t>
            </w:r>
          </w:p>
        </w:tc>
        <w:tc>
          <w:tcPr>
            <w:tcW w:w="1800" w:type="dxa"/>
          </w:tcPr>
          <w:p w:rsidR="001C0D62" w:rsidRDefault="001C0D62">
            <w:pPr>
              <w:autoSpaceDE w:val="0"/>
              <w:autoSpaceDN w:val="0"/>
              <w:adjustRightInd w:val="0"/>
              <w:rPr>
                <w:rFonts w:ascii="Arial" w:hAnsi="Arial" w:cs="Arial"/>
              </w:rPr>
            </w:pPr>
            <w:r>
              <w:rPr>
                <w:rFonts w:ascii="Arial" w:hAnsi="Arial" w:cs="Arial"/>
              </w:rPr>
              <w:t>.1217</w:t>
            </w:r>
          </w:p>
        </w:tc>
        <w:tc>
          <w:tcPr>
            <w:tcW w:w="1260" w:type="dxa"/>
          </w:tcPr>
          <w:p w:rsidR="001C0D62" w:rsidRDefault="001C0D62">
            <w:pPr>
              <w:autoSpaceDE w:val="0"/>
              <w:autoSpaceDN w:val="0"/>
              <w:adjustRightInd w:val="0"/>
              <w:rPr>
                <w:rFonts w:ascii="Arial" w:hAnsi="Arial" w:cs="Arial"/>
              </w:rPr>
            </w:pPr>
            <w:r>
              <w:rPr>
                <w:rFonts w:ascii="Arial" w:hAnsi="Arial" w:cs="Arial"/>
              </w:rPr>
              <w:t>.2289</w:t>
            </w:r>
          </w:p>
        </w:tc>
        <w:tc>
          <w:tcPr>
            <w:tcW w:w="1260" w:type="dxa"/>
          </w:tcPr>
          <w:p w:rsidR="001C0D62" w:rsidRDefault="001C0D62">
            <w:pPr>
              <w:autoSpaceDE w:val="0"/>
              <w:autoSpaceDN w:val="0"/>
              <w:adjustRightInd w:val="0"/>
              <w:rPr>
                <w:rFonts w:ascii="Arial" w:hAnsi="Arial" w:cs="Arial"/>
              </w:rPr>
            </w:pPr>
            <w:r>
              <w:rPr>
                <w:rFonts w:ascii="Arial" w:hAnsi="Arial" w:cs="Arial"/>
              </w:rPr>
              <w:t>.2913</w:t>
            </w:r>
          </w:p>
        </w:tc>
        <w:tc>
          <w:tcPr>
            <w:tcW w:w="1080" w:type="dxa"/>
          </w:tcPr>
          <w:p w:rsidR="001C0D62" w:rsidRDefault="001C0D62">
            <w:pPr>
              <w:autoSpaceDE w:val="0"/>
              <w:autoSpaceDN w:val="0"/>
              <w:adjustRightInd w:val="0"/>
              <w:rPr>
                <w:rFonts w:ascii="Arial" w:hAnsi="Arial" w:cs="Arial"/>
              </w:rPr>
            </w:pPr>
            <w:r>
              <w:rPr>
                <w:rFonts w:ascii="Arial" w:hAnsi="Arial" w:cs="Arial"/>
              </w:rPr>
              <w:t>.3440</w:t>
            </w:r>
          </w:p>
        </w:tc>
        <w:tc>
          <w:tcPr>
            <w:tcW w:w="1440" w:type="dxa"/>
          </w:tcPr>
          <w:p w:rsidR="001C0D62" w:rsidRDefault="001C0D62">
            <w:pPr>
              <w:autoSpaceDE w:val="0"/>
              <w:autoSpaceDN w:val="0"/>
              <w:adjustRightInd w:val="0"/>
              <w:rPr>
                <w:rFonts w:ascii="Arial" w:hAnsi="Arial" w:cs="Arial"/>
              </w:rPr>
            </w:pPr>
            <w:r>
              <w:rPr>
                <w:rFonts w:ascii="Arial" w:hAnsi="Arial" w:cs="Arial"/>
              </w:rPr>
              <w:t>.4032</w:t>
            </w:r>
          </w:p>
        </w:tc>
        <w:tc>
          <w:tcPr>
            <w:tcW w:w="1260" w:type="dxa"/>
          </w:tcPr>
          <w:p w:rsidR="001C0D62" w:rsidRDefault="001C0D62">
            <w:pPr>
              <w:autoSpaceDE w:val="0"/>
              <w:autoSpaceDN w:val="0"/>
              <w:adjustRightInd w:val="0"/>
              <w:rPr>
                <w:rFonts w:ascii="Arial" w:hAnsi="Arial" w:cs="Arial"/>
              </w:rPr>
            </w:pPr>
            <w:r>
              <w:rPr>
                <w:rFonts w:ascii="Arial" w:hAnsi="Arial" w:cs="Arial"/>
              </w:rPr>
              <w:t>.4421</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32</w:t>
            </w:r>
          </w:p>
        </w:tc>
        <w:tc>
          <w:tcPr>
            <w:tcW w:w="1800" w:type="dxa"/>
          </w:tcPr>
          <w:p w:rsidR="001C0D62" w:rsidRDefault="001C0D62">
            <w:pPr>
              <w:autoSpaceDE w:val="0"/>
              <w:autoSpaceDN w:val="0"/>
              <w:adjustRightInd w:val="0"/>
              <w:rPr>
                <w:rFonts w:ascii="Arial" w:hAnsi="Arial" w:cs="Arial"/>
              </w:rPr>
            </w:pPr>
            <w:r>
              <w:rPr>
                <w:rFonts w:ascii="Arial" w:hAnsi="Arial" w:cs="Arial"/>
              </w:rPr>
              <w:t>.1197</w:t>
            </w:r>
          </w:p>
        </w:tc>
        <w:tc>
          <w:tcPr>
            <w:tcW w:w="1260" w:type="dxa"/>
          </w:tcPr>
          <w:p w:rsidR="001C0D62" w:rsidRDefault="001C0D62">
            <w:pPr>
              <w:autoSpaceDE w:val="0"/>
              <w:autoSpaceDN w:val="0"/>
              <w:adjustRightInd w:val="0"/>
              <w:rPr>
                <w:rFonts w:ascii="Arial" w:hAnsi="Arial" w:cs="Arial"/>
              </w:rPr>
            </w:pPr>
            <w:r>
              <w:rPr>
                <w:rFonts w:ascii="Arial" w:hAnsi="Arial" w:cs="Arial"/>
              </w:rPr>
              <w:t>.2254</w:t>
            </w:r>
          </w:p>
        </w:tc>
        <w:tc>
          <w:tcPr>
            <w:tcW w:w="1260" w:type="dxa"/>
          </w:tcPr>
          <w:p w:rsidR="001C0D62" w:rsidRDefault="001C0D62">
            <w:pPr>
              <w:autoSpaceDE w:val="0"/>
              <w:autoSpaceDN w:val="0"/>
              <w:adjustRightInd w:val="0"/>
              <w:rPr>
                <w:rFonts w:ascii="Arial" w:hAnsi="Arial" w:cs="Arial"/>
              </w:rPr>
            </w:pPr>
            <w:r>
              <w:rPr>
                <w:rFonts w:ascii="Arial" w:hAnsi="Arial" w:cs="Arial"/>
              </w:rPr>
              <w:t>.2869</w:t>
            </w:r>
          </w:p>
        </w:tc>
        <w:tc>
          <w:tcPr>
            <w:tcW w:w="1080" w:type="dxa"/>
          </w:tcPr>
          <w:p w:rsidR="001C0D62" w:rsidRDefault="001C0D62">
            <w:pPr>
              <w:autoSpaceDE w:val="0"/>
              <w:autoSpaceDN w:val="0"/>
              <w:adjustRightInd w:val="0"/>
              <w:rPr>
                <w:rFonts w:ascii="Arial" w:hAnsi="Arial" w:cs="Arial"/>
              </w:rPr>
            </w:pPr>
            <w:r>
              <w:rPr>
                <w:rFonts w:ascii="Arial" w:hAnsi="Arial" w:cs="Arial"/>
              </w:rPr>
              <w:t>.3388</w:t>
            </w:r>
          </w:p>
        </w:tc>
        <w:tc>
          <w:tcPr>
            <w:tcW w:w="1440" w:type="dxa"/>
          </w:tcPr>
          <w:p w:rsidR="001C0D62" w:rsidRDefault="001C0D62">
            <w:pPr>
              <w:autoSpaceDE w:val="0"/>
              <w:autoSpaceDN w:val="0"/>
              <w:adjustRightInd w:val="0"/>
              <w:rPr>
                <w:rFonts w:ascii="Arial" w:hAnsi="Arial" w:cs="Arial"/>
              </w:rPr>
            </w:pPr>
            <w:r>
              <w:rPr>
                <w:rFonts w:ascii="Arial" w:hAnsi="Arial" w:cs="Arial"/>
              </w:rPr>
              <w:t>.3972</w:t>
            </w:r>
          </w:p>
        </w:tc>
        <w:tc>
          <w:tcPr>
            <w:tcW w:w="1260" w:type="dxa"/>
          </w:tcPr>
          <w:p w:rsidR="001C0D62" w:rsidRDefault="001C0D62">
            <w:pPr>
              <w:autoSpaceDE w:val="0"/>
              <w:autoSpaceDN w:val="0"/>
              <w:adjustRightInd w:val="0"/>
              <w:rPr>
                <w:rFonts w:ascii="Arial" w:hAnsi="Arial" w:cs="Arial"/>
              </w:rPr>
            </w:pPr>
            <w:r>
              <w:rPr>
                <w:rFonts w:ascii="Arial" w:hAnsi="Arial" w:cs="Arial"/>
              </w:rPr>
              <w:t>.4357</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33</w:t>
            </w:r>
          </w:p>
        </w:tc>
        <w:tc>
          <w:tcPr>
            <w:tcW w:w="1800" w:type="dxa"/>
          </w:tcPr>
          <w:p w:rsidR="001C0D62" w:rsidRDefault="001C0D62">
            <w:pPr>
              <w:autoSpaceDE w:val="0"/>
              <w:autoSpaceDN w:val="0"/>
              <w:adjustRightInd w:val="0"/>
              <w:rPr>
                <w:rFonts w:ascii="Arial" w:hAnsi="Arial" w:cs="Arial"/>
              </w:rPr>
            </w:pPr>
            <w:r>
              <w:rPr>
                <w:rFonts w:ascii="Arial" w:hAnsi="Arial" w:cs="Arial"/>
              </w:rPr>
              <w:t>.1179</w:t>
            </w:r>
          </w:p>
        </w:tc>
        <w:tc>
          <w:tcPr>
            <w:tcW w:w="1260" w:type="dxa"/>
          </w:tcPr>
          <w:p w:rsidR="001C0D62" w:rsidRDefault="001C0D62">
            <w:pPr>
              <w:autoSpaceDE w:val="0"/>
              <w:autoSpaceDN w:val="0"/>
              <w:adjustRightInd w:val="0"/>
              <w:rPr>
                <w:rFonts w:ascii="Arial" w:hAnsi="Arial" w:cs="Arial"/>
              </w:rPr>
            </w:pPr>
            <w:r>
              <w:rPr>
                <w:rFonts w:ascii="Arial" w:hAnsi="Arial" w:cs="Arial"/>
              </w:rPr>
              <w:t>.2220</w:t>
            </w:r>
          </w:p>
        </w:tc>
        <w:tc>
          <w:tcPr>
            <w:tcW w:w="1260" w:type="dxa"/>
          </w:tcPr>
          <w:p w:rsidR="001C0D62" w:rsidRDefault="001C0D62">
            <w:pPr>
              <w:autoSpaceDE w:val="0"/>
              <w:autoSpaceDN w:val="0"/>
              <w:adjustRightInd w:val="0"/>
              <w:rPr>
                <w:rFonts w:ascii="Arial" w:hAnsi="Arial" w:cs="Arial"/>
              </w:rPr>
            </w:pPr>
            <w:r>
              <w:rPr>
                <w:rFonts w:ascii="Arial" w:hAnsi="Arial" w:cs="Arial"/>
              </w:rPr>
              <w:t>.2826</w:t>
            </w:r>
          </w:p>
        </w:tc>
        <w:tc>
          <w:tcPr>
            <w:tcW w:w="1080" w:type="dxa"/>
          </w:tcPr>
          <w:p w:rsidR="001C0D62" w:rsidRDefault="001C0D62">
            <w:pPr>
              <w:autoSpaceDE w:val="0"/>
              <w:autoSpaceDN w:val="0"/>
              <w:adjustRightInd w:val="0"/>
              <w:rPr>
                <w:rFonts w:ascii="Arial" w:hAnsi="Arial" w:cs="Arial"/>
              </w:rPr>
            </w:pPr>
            <w:r>
              <w:rPr>
                <w:rFonts w:ascii="Arial" w:hAnsi="Arial" w:cs="Arial"/>
              </w:rPr>
              <w:t>.3338</w:t>
            </w:r>
          </w:p>
        </w:tc>
        <w:tc>
          <w:tcPr>
            <w:tcW w:w="1440" w:type="dxa"/>
          </w:tcPr>
          <w:p w:rsidR="001C0D62" w:rsidRDefault="001C0D62">
            <w:pPr>
              <w:autoSpaceDE w:val="0"/>
              <w:autoSpaceDN w:val="0"/>
              <w:adjustRightInd w:val="0"/>
              <w:rPr>
                <w:rFonts w:ascii="Arial" w:hAnsi="Arial" w:cs="Arial"/>
              </w:rPr>
            </w:pPr>
            <w:r>
              <w:rPr>
                <w:rFonts w:ascii="Arial" w:hAnsi="Arial" w:cs="Arial"/>
              </w:rPr>
              <w:t>.3916</w:t>
            </w:r>
          </w:p>
        </w:tc>
        <w:tc>
          <w:tcPr>
            <w:tcW w:w="1260" w:type="dxa"/>
          </w:tcPr>
          <w:p w:rsidR="001C0D62" w:rsidRDefault="001C0D62">
            <w:pPr>
              <w:autoSpaceDE w:val="0"/>
              <w:autoSpaceDN w:val="0"/>
              <w:adjustRightInd w:val="0"/>
              <w:rPr>
                <w:rFonts w:ascii="Arial" w:hAnsi="Arial" w:cs="Arial"/>
              </w:rPr>
            </w:pPr>
            <w:r>
              <w:rPr>
                <w:rFonts w:ascii="Arial" w:hAnsi="Arial" w:cs="Arial"/>
              </w:rPr>
              <w:t>.4296</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34</w:t>
            </w:r>
          </w:p>
        </w:tc>
        <w:tc>
          <w:tcPr>
            <w:tcW w:w="1800" w:type="dxa"/>
          </w:tcPr>
          <w:p w:rsidR="001C0D62" w:rsidRDefault="001C0D62">
            <w:pPr>
              <w:autoSpaceDE w:val="0"/>
              <w:autoSpaceDN w:val="0"/>
              <w:adjustRightInd w:val="0"/>
              <w:rPr>
                <w:rFonts w:ascii="Arial" w:hAnsi="Arial" w:cs="Arial"/>
              </w:rPr>
            </w:pPr>
            <w:r>
              <w:rPr>
                <w:rFonts w:ascii="Arial" w:hAnsi="Arial" w:cs="Arial"/>
              </w:rPr>
              <w:t>.1161</w:t>
            </w:r>
          </w:p>
        </w:tc>
        <w:tc>
          <w:tcPr>
            <w:tcW w:w="1260" w:type="dxa"/>
          </w:tcPr>
          <w:p w:rsidR="001C0D62" w:rsidRDefault="001C0D62">
            <w:pPr>
              <w:autoSpaceDE w:val="0"/>
              <w:autoSpaceDN w:val="0"/>
              <w:adjustRightInd w:val="0"/>
              <w:rPr>
                <w:rFonts w:ascii="Arial" w:hAnsi="Arial" w:cs="Arial"/>
              </w:rPr>
            </w:pPr>
            <w:r>
              <w:rPr>
                <w:rFonts w:ascii="Arial" w:hAnsi="Arial" w:cs="Arial"/>
              </w:rPr>
              <w:t>.2187</w:t>
            </w:r>
          </w:p>
        </w:tc>
        <w:tc>
          <w:tcPr>
            <w:tcW w:w="1260" w:type="dxa"/>
          </w:tcPr>
          <w:p w:rsidR="001C0D62" w:rsidRDefault="001C0D62">
            <w:pPr>
              <w:autoSpaceDE w:val="0"/>
              <w:autoSpaceDN w:val="0"/>
              <w:adjustRightInd w:val="0"/>
              <w:rPr>
                <w:rFonts w:ascii="Arial" w:hAnsi="Arial" w:cs="Arial"/>
              </w:rPr>
            </w:pPr>
            <w:r>
              <w:rPr>
                <w:rFonts w:ascii="Arial" w:hAnsi="Arial" w:cs="Arial"/>
              </w:rPr>
              <w:t>.2785</w:t>
            </w:r>
          </w:p>
        </w:tc>
        <w:tc>
          <w:tcPr>
            <w:tcW w:w="1080" w:type="dxa"/>
          </w:tcPr>
          <w:p w:rsidR="001C0D62" w:rsidRDefault="001C0D62">
            <w:pPr>
              <w:autoSpaceDE w:val="0"/>
              <w:autoSpaceDN w:val="0"/>
              <w:adjustRightInd w:val="0"/>
              <w:rPr>
                <w:rFonts w:ascii="Arial" w:hAnsi="Arial" w:cs="Arial"/>
              </w:rPr>
            </w:pPr>
            <w:r>
              <w:rPr>
                <w:rFonts w:ascii="Arial" w:hAnsi="Arial" w:cs="Arial"/>
              </w:rPr>
              <w:t>.3291</w:t>
            </w:r>
          </w:p>
        </w:tc>
        <w:tc>
          <w:tcPr>
            <w:tcW w:w="1440" w:type="dxa"/>
          </w:tcPr>
          <w:p w:rsidR="001C0D62" w:rsidRDefault="001C0D62">
            <w:pPr>
              <w:autoSpaceDE w:val="0"/>
              <w:autoSpaceDN w:val="0"/>
              <w:adjustRightInd w:val="0"/>
              <w:rPr>
                <w:rFonts w:ascii="Arial" w:hAnsi="Arial" w:cs="Arial"/>
              </w:rPr>
            </w:pPr>
            <w:r>
              <w:rPr>
                <w:rFonts w:ascii="Arial" w:hAnsi="Arial" w:cs="Arial"/>
              </w:rPr>
              <w:t>.3862</w:t>
            </w:r>
          </w:p>
        </w:tc>
        <w:tc>
          <w:tcPr>
            <w:tcW w:w="1260" w:type="dxa"/>
          </w:tcPr>
          <w:p w:rsidR="001C0D62" w:rsidRDefault="001C0D62">
            <w:pPr>
              <w:autoSpaceDE w:val="0"/>
              <w:autoSpaceDN w:val="0"/>
              <w:adjustRightInd w:val="0"/>
              <w:rPr>
                <w:rFonts w:ascii="Arial" w:hAnsi="Arial" w:cs="Arial"/>
              </w:rPr>
            </w:pPr>
            <w:r>
              <w:rPr>
                <w:rFonts w:ascii="Arial" w:hAnsi="Arial" w:cs="Arial"/>
              </w:rPr>
              <w:t>.4238</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35</w:t>
            </w:r>
          </w:p>
        </w:tc>
        <w:tc>
          <w:tcPr>
            <w:tcW w:w="1800" w:type="dxa"/>
          </w:tcPr>
          <w:p w:rsidR="001C0D62" w:rsidRDefault="001C0D62">
            <w:pPr>
              <w:autoSpaceDE w:val="0"/>
              <w:autoSpaceDN w:val="0"/>
              <w:adjustRightInd w:val="0"/>
              <w:rPr>
                <w:rFonts w:ascii="Arial" w:hAnsi="Arial" w:cs="Arial"/>
              </w:rPr>
            </w:pPr>
            <w:r>
              <w:rPr>
                <w:rFonts w:ascii="Arial" w:hAnsi="Arial" w:cs="Arial"/>
              </w:rPr>
              <w:t>.1144</w:t>
            </w:r>
          </w:p>
        </w:tc>
        <w:tc>
          <w:tcPr>
            <w:tcW w:w="1260" w:type="dxa"/>
          </w:tcPr>
          <w:p w:rsidR="001C0D62" w:rsidRDefault="001C0D62">
            <w:pPr>
              <w:autoSpaceDE w:val="0"/>
              <w:autoSpaceDN w:val="0"/>
              <w:adjustRightInd w:val="0"/>
              <w:rPr>
                <w:rFonts w:ascii="Arial" w:hAnsi="Arial" w:cs="Arial"/>
              </w:rPr>
            </w:pPr>
            <w:r>
              <w:rPr>
                <w:rFonts w:ascii="Arial" w:hAnsi="Arial" w:cs="Arial"/>
              </w:rPr>
              <w:t>.2156</w:t>
            </w:r>
          </w:p>
        </w:tc>
        <w:tc>
          <w:tcPr>
            <w:tcW w:w="1260" w:type="dxa"/>
          </w:tcPr>
          <w:p w:rsidR="001C0D62" w:rsidRDefault="001C0D62">
            <w:pPr>
              <w:autoSpaceDE w:val="0"/>
              <w:autoSpaceDN w:val="0"/>
              <w:adjustRightInd w:val="0"/>
              <w:rPr>
                <w:rFonts w:ascii="Arial" w:hAnsi="Arial" w:cs="Arial"/>
              </w:rPr>
            </w:pPr>
            <w:r>
              <w:rPr>
                <w:rFonts w:ascii="Arial" w:hAnsi="Arial" w:cs="Arial"/>
              </w:rPr>
              <w:t>.2746</w:t>
            </w:r>
          </w:p>
        </w:tc>
        <w:tc>
          <w:tcPr>
            <w:tcW w:w="1080" w:type="dxa"/>
          </w:tcPr>
          <w:p w:rsidR="001C0D62" w:rsidRDefault="001C0D62">
            <w:pPr>
              <w:autoSpaceDE w:val="0"/>
              <w:autoSpaceDN w:val="0"/>
              <w:adjustRightInd w:val="0"/>
              <w:rPr>
                <w:rFonts w:ascii="Arial" w:hAnsi="Arial" w:cs="Arial"/>
              </w:rPr>
            </w:pPr>
            <w:r>
              <w:rPr>
                <w:rFonts w:ascii="Arial" w:hAnsi="Arial" w:cs="Arial"/>
              </w:rPr>
              <w:t>.3246</w:t>
            </w:r>
          </w:p>
        </w:tc>
        <w:tc>
          <w:tcPr>
            <w:tcW w:w="1440" w:type="dxa"/>
          </w:tcPr>
          <w:p w:rsidR="001C0D62" w:rsidRDefault="001C0D62">
            <w:pPr>
              <w:autoSpaceDE w:val="0"/>
              <w:autoSpaceDN w:val="0"/>
              <w:adjustRightInd w:val="0"/>
              <w:rPr>
                <w:rFonts w:ascii="Arial" w:hAnsi="Arial" w:cs="Arial"/>
              </w:rPr>
            </w:pPr>
            <w:r>
              <w:rPr>
                <w:rFonts w:ascii="Arial" w:hAnsi="Arial" w:cs="Arial"/>
              </w:rPr>
              <w:t>.3810</w:t>
            </w:r>
          </w:p>
        </w:tc>
        <w:tc>
          <w:tcPr>
            <w:tcW w:w="1260" w:type="dxa"/>
          </w:tcPr>
          <w:p w:rsidR="001C0D62" w:rsidRDefault="001C0D62">
            <w:pPr>
              <w:autoSpaceDE w:val="0"/>
              <w:autoSpaceDN w:val="0"/>
              <w:adjustRightInd w:val="0"/>
              <w:rPr>
                <w:rFonts w:ascii="Arial" w:hAnsi="Arial" w:cs="Arial"/>
              </w:rPr>
            </w:pPr>
            <w:r>
              <w:rPr>
                <w:rFonts w:ascii="Arial" w:hAnsi="Arial" w:cs="Arial"/>
              </w:rPr>
              <w:t>.4182</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36</w:t>
            </w:r>
          </w:p>
        </w:tc>
        <w:tc>
          <w:tcPr>
            <w:tcW w:w="1800" w:type="dxa"/>
          </w:tcPr>
          <w:p w:rsidR="001C0D62" w:rsidRDefault="001C0D62">
            <w:pPr>
              <w:autoSpaceDE w:val="0"/>
              <w:autoSpaceDN w:val="0"/>
              <w:adjustRightInd w:val="0"/>
              <w:rPr>
                <w:rFonts w:ascii="Arial" w:hAnsi="Arial" w:cs="Arial"/>
              </w:rPr>
            </w:pPr>
            <w:r>
              <w:rPr>
                <w:rFonts w:ascii="Arial" w:hAnsi="Arial" w:cs="Arial"/>
              </w:rPr>
              <w:t>.1128</w:t>
            </w:r>
          </w:p>
        </w:tc>
        <w:tc>
          <w:tcPr>
            <w:tcW w:w="1260" w:type="dxa"/>
          </w:tcPr>
          <w:p w:rsidR="001C0D62" w:rsidRDefault="001C0D62">
            <w:pPr>
              <w:autoSpaceDE w:val="0"/>
              <w:autoSpaceDN w:val="0"/>
              <w:adjustRightInd w:val="0"/>
              <w:rPr>
                <w:rFonts w:ascii="Arial" w:hAnsi="Arial" w:cs="Arial"/>
              </w:rPr>
            </w:pPr>
            <w:r>
              <w:rPr>
                <w:rFonts w:ascii="Arial" w:hAnsi="Arial" w:cs="Arial"/>
              </w:rPr>
              <w:t>.2126</w:t>
            </w:r>
          </w:p>
        </w:tc>
        <w:tc>
          <w:tcPr>
            <w:tcW w:w="1260" w:type="dxa"/>
          </w:tcPr>
          <w:p w:rsidR="001C0D62" w:rsidRDefault="001C0D62">
            <w:pPr>
              <w:autoSpaceDE w:val="0"/>
              <w:autoSpaceDN w:val="0"/>
              <w:adjustRightInd w:val="0"/>
              <w:rPr>
                <w:rFonts w:ascii="Arial" w:hAnsi="Arial" w:cs="Arial"/>
              </w:rPr>
            </w:pPr>
            <w:r>
              <w:rPr>
                <w:rFonts w:ascii="Arial" w:hAnsi="Arial" w:cs="Arial"/>
              </w:rPr>
              <w:t>.2709</w:t>
            </w:r>
          </w:p>
        </w:tc>
        <w:tc>
          <w:tcPr>
            <w:tcW w:w="1080" w:type="dxa"/>
          </w:tcPr>
          <w:p w:rsidR="001C0D62" w:rsidRDefault="001C0D62">
            <w:pPr>
              <w:autoSpaceDE w:val="0"/>
              <w:autoSpaceDN w:val="0"/>
              <w:adjustRightInd w:val="0"/>
              <w:rPr>
                <w:rFonts w:ascii="Arial" w:hAnsi="Arial" w:cs="Arial"/>
              </w:rPr>
            </w:pPr>
            <w:r>
              <w:rPr>
                <w:rFonts w:ascii="Arial" w:hAnsi="Arial" w:cs="Arial"/>
              </w:rPr>
              <w:t>.3202</w:t>
            </w:r>
          </w:p>
        </w:tc>
        <w:tc>
          <w:tcPr>
            <w:tcW w:w="1440" w:type="dxa"/>
          </w:tcPr>
          <w:p w:rsidR="001C0D62" w:rsidRDefault="001C0D62">
            <w:pPr>
              <w:autoSpaceDE w:val="0"/>
              <w:autoSpaceDN w:val="0"/>
              <w:adjustRightInd w:val="0"/>
              <w:rPr>
                <w:rFonts w:ascii="Arial" w:hAnsi="Arial" w:cs="Arial"/>
              </w:rPr>
            </w:pPr>
            <w:r>
              <w:rPr>
                <w:rFonts w:ascii="Arial" w:hAnsi="Arial" w:cs="Arial"/>
              </w:rPr>
              <w:t>.3760</w:t>
            </w:r>
          </w:p>
        </w:tc>
        <w:tc>
          <w:tcPr>
            <w:tcW w:w="1260" w:type="dxa"/>
          </w:tcPr>
          <w:p w:rsidR="001C0D62" w:rsidRDefault="001C0D62">
            <w:pPr>
              <w:autoSpaceDE w:val="0"/>
              <w:autoSpaceDN w:val="0"/>
              <w:adjustRightInd w:val="0"/>
              <w:rPr>
                <w:rFonts w:ascii="Arial" w:hAnsi="Arial" w:cs="Arial"/>
              </w:rPr>
            </w:pPr>
            <w:r>
              <w:rPr>
                <w:rFonts w:ascii="Arial" w:hAnsi="Arial" w:cs="Arial"/>
              </w:rPr>
              <w:t>.4128</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37</w:t>
            </w:r>
          </w:p>
        </w:tc>
        <w:tc>
          <w:tcPr>
            <w:tcW w:w="1800" w:type="dxa"/>
          </w:tcPr>
          <w:p w:rsidR="001C0D62" w:rsidRDefault="001C0D62">
            <w:pPr>
              <w:autoSpaceDE w:val="0"/>
              <w:autoSpaceDN w:val="0"/>
              <w:adjustRightInd w:val="0"/>
              <w:rPr>
                <w:rFonts w:ascii="Arial" w:hAnsi="Arial" w:cs="Arial"/>
              </w:rPr>
            </w:pPr>
            <w:r>
              <w:rPr>
                <w:rFonts w:ascii="Arial" w:hAnsi="Arial" w:cs="Arial"/>
              </w:rPr>
              <w:t>.1113</w:t>
            </w:r>
          </w:p>
        </w:tc>
        <w:tc>
          <w:tcPr>
            <w:tcW w:w="1260" w:type="dxa"/>
          </w:tcPr>
          <w:p w:rsidR="001C0D62" w:rsidRDefault="001C0D62">
            <w:pPr>
              <w:autoSpaceDE w:val="0"/>
              <w:autoSpaceDN w:val="0"/>
              <w:adjustRightInd w:val="0"/>
              <w:rPr>
                <w:rFonts w:ascii="Arial" w:hAnsi="Arial" w:cs="Arial"/>
              </w:rPr>
            </w:pPr>
            <w:r>
              <w:rPr>
                <w:rFonts w:ascii="Arial" w:hAnsi="Arial" w:cs="Arial"/>
              </w:rPr>
              <w:t>.2097</w:t>
            </w:r>
          </w:p>
        </w:tc>
        <w:tc>
          <w:tcPr>
            <w:tcW w:w="1260" w:type="dxa"/>
          </w:tcPr>
          <w:p w:rsidR="001C0D62" w:rsidRDefault="001C0D62">
            <w:pPr>
              <w:autoSpaceDE w:val="0"/>
              <w:autoSpaceDN w:val="0"/>
              <w:adjustRightInd w:val="0"/>
              <w:rPr>
                <w:rFonts w:ascii="Arial" w:hAnsi="Arial" w:cs="Arial"/>
              </w:rPr>
            </w:pPr>
            <w:r>
              <w:rPr>
                <w:rFonts w:ascii="Arial" w:hAnsi="Arial" w:cs="Arial"/>
              </w:rPr>
              <w:t>.2673</w:t>
            </w:r>
          </w:p>
        </w:tc>
        <w:tc>
          <w:tcPr>
            <w:tcW w:w="1080" w:type="dxa"/>
          </w:tcPr>
          <w:p w:rsidR="001C0D62" w:rsidRDefault="001C0D62">
            <w:pPr>
              <w:autoSpaceDE w:val="0"/>
              <w:autoSpaceDN w:val="0"/>
              <w:adjustRightInd w:val="0"/>
              <w:rPr>
                <w:rFonts w:ascii="Arial" w:hAnsi="Arial" w:cs="Arial"/>
              </w:rPr>
            </w:pPr>
            <w:r>
              <w:rPr>
                <w:rFonts w:ascii="Arial" w:hAnsi="Arial" w:cs="Arial"/>
              </w:rPr>
              <w:t>.3160</w:t>
            </w:r>
          </w:p>
        </w:tc>
        <w:tc>
          <w:tcPr>
            <w:tcW w:w="1440" w:type="dxa"/>
          </w:tcPr>
          <w:p w:rsidR="001C0D62" w:rsidRDefault="001C0D62">
            <w:pPr>
              <w:autoSpaceDE w:val="0"/>
              <w:autoSpaceDN w:val="0"/>
              <w:adjustRightInd w:val="0"/>
              <w:rPr>
                <w:rFonts w:ascii="Arial" w:hAnsi="Arial" w:cs="Arial"/>
              </w:rPr>
            </w:pPr>
            <w:r>
              <w:rPr>
                <w:rFonts w:ascii="Arial" w:hAnsi="Arial" w:cs="Arial"/>
              </w:rPr>
              <w:t>.3712</w:t>
            </w:r>
          </w:p>
        </w:tc>
        <w:tc>
          <w:tcPr>
            <w:tcW w:w="1260" w:type="dxa"/>
          </w:tcPr>
          <w:p w:rsidR="001C0D62" w:rsidRDefault="001C0D62">
            <w:pPr>
              <w:autoSpaceDE w:val="0"/>
              <w:autoSpaceDN w:val="0"/>
              <w:adjustRightInd w:val="0"/>
              <w:rPr>
                <w:rFonts w:ascii="Arial" w:hAnsi="Arial" w:cs="Arial"/>
              </w:rPr>
            </w:pPr>
            <w:r>
              <w:rPr>
                <w:rFonts w:ascii="Arial" w:hAnsi="Arial" w:cs="Arial"/>
              </w:rPr>
              <w:t>.4076</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38</w:t>
            </w:r>
          </w:p>
        </w:tc>
        <w:tc>
          <w:tcPr>
            <w:tcW w:w="1800" w:type="dxa"/>
          </w:tcPr>
          <w:p w:rsidR="001C0D62" w:rsidRDefault="001C0D62">
            <w:pPr>
              <w:autoSpaceDE w:val="0"/>
              <w:autoSpaceDN w:val="0"/>
              <w:adjustRightInd w:val="0"/>
              <w:rPr>
                <w:rFonts w:ascii="Arial" w:hAnsi="Arial" w:cs="Arial"/>
              </w:rPr>
            </w:pPr>
            <w:r>
              <w:rPr>
                <w:rFonts w:ascii="Arial" w:hAnsi="Arial" w:cs="Arial"/>
              </w:rPr>
              <w:t>.1098</w:t>
            </w:r>
          </w:p>
        </w:tc>
        <w:tc>
          <w:tcPr>
            <w:tcW w:w="1260" w:type="dxa"/>
          </w:tcPr>
          <w:p w:rsidR="001C0D62" w:rsidRDefault="001C0D62">
            <w:pPr>
              <w:autoSpaceDE w:val="0"/>
              <w:autoSpaceDN w:val="0"/>
              <w:adjustRightInd w:val="0"/>
              <w:rPr>
                <w:rFonts w:ascii="Arial" w:hAnsi="Arial" w:cs="Arial"/>
              </w:rPr>
            </w:pPr>
            <w:r>
              <w:rPr>
                <w:rFonts w:ascii="Arial" w:hAnsi="Arial" w:cs="Arial"/>
              </w:rPr>
              <w:t>.2070</w:t>
            </w:r>
          </w:p>
        </w:tc>
        <w:tc>
          <w:tcPr>
            <w:tcW w:w="1260" w:type="dxa"/>
          </w:tcPr>
          <w:p w:rsidR="001C0D62" w:rsidRDefault="001C0D62">
            <w:pPr>
              <w:autoSpaceDE w:val="0"/>
              <w:autoSpaceDN w:val="0"/>
              <w:adjustRightInd w:val="0"/>
              <w:rPr>
                <w:rFonts w:ascii="Arial" w:hAnsi="Arial" w:cs="Arial"/>
              </w:rPr>
            </w:pPr>
            <w:r>
              <w:rPr>
                <w:rFonts w:ascii="Arial" w:hAnsi="Arial" w:cs="Arial"/>
              </w:rPr>
              <w:t>.2638</w:t>
            </w:r>
          </w:p>
        </w:tc>
        <w:tc>
          <w:tcPr>
            <w:tcW w:w="1080" w:type="dxa"/>
          </w:tcPr>
          <w:p w:rsidR="001C0D62" w:rsidRDefault="001C0D62">
            <w:pPr>
              <w:autoSpaceDE w:val="0"/>
              <w:autoSpaceDN w:val="0"/>
              <w:adjustRightInd w:val="0"/>
              <w:rPr>
                <w:rFonts w:ascii="Arial" w:hAnsi="Arial" w:cs="Arial"/>
              </w:rPr>
            </w:pPr>
            <w:r>
              <w:rPr>
                <w:rFonts w:ascii="Arial" w:hAnsi="Arial" w:cs="Arial"/>
              </w:rPr>
              <w:t>.3120</w:t>
            </w:r>
          </w:p>
        </w:tc>
        <w:tc>
          <w:tcPr>
            <w:tcW w:w="1440" w:type="dxa"/>
          </w:tcPr>
          <w:p w:rsidR="001C0D62" w:rsidRDefault="001C0D62">
            <w:pPr>
              <w:autoSpaceDE w:val="0"/>
              <w:autoSpaceDN w:val="0"/>
              <w:adjustRightInd w:val="0"/>
              <w:rPr>
                <w:rFonts w:ascii="Arial" w:hAnsi="Arial" w:cs="Arial"/>
              </w:rPr>
            </w:pPr>
            <w:r>
              <w:rPr>
                <w:rFonts w:ascii="Arial" w:hAnsi="Arial" w:cs="Arial"/>
              </w:rPr>
              <w:t>.3665</w:t>
            </w:r>
          </w:p>
        </w:tc>
        <w:tc>
          <w:tcPr>
            <w:tcW w:w="1260" w:type="dxa"/>
          </w:tcPr>
          <w:p w:rsidR="001C0D62" w:rsidRDefault="001C0D62">
            <w:pPr>
              <w:autoSpaceDE w:val="0"/>
              <w:autoSpaceDN w:val="0"/>
              <w:adjustRightInd w:val="0"/>
              <w:rPr>
                <w:rFonts w:ascii="Arial" w:hAnsi="Arial" w:cs="Arial"/>
              </w:rPr>
            </w:pPr>
            <w:r>
              <w:rPr>
                <w:rFonts w:ascii="Arial" w:hAnsi="Arial" w:cs="Arial"/>
              </w:rPr>
              <w:t>.4026</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39</w:t>
            </w:r>
          </w:p>
        </w:tc>
        <w:tc>
          <w:tcPr>
            <w:tcW w:w="1800" w:type="dxa"/>
          </w:tcPr>
          <w:p w:rsidR="001C0D62" w:rsidRDefault="001C0D62">
            <w:pPr>
              <w:autoSpaceDE w:val="0"/>
              <w:autoSpaceDN w:val="0"/>
              <w:adjustRightInd w:val="0"/>
              <w:rPr>
                <w:rFonts w:ascii="Arial" w:hAnsi="Arial" w:cs="Arial"/>
              </w:rPr>
            </w:pPr>
            <w:r>
              <w:rPr>
                <w:rFonts w:ascii="Arial" w:hAnsi="Arial" w:cs="Arial"/>
              </w:rPr>
              <w:t>.1084</w:t>
            </w:r>
          </w:p>
        </w:tc>
        <w:tc>
          <w:tcPr>
            <w:tcW w:w="1260" w:type="dxa"/>
          </w:tcPr>
          <w:p w:rsidR="001C0D62" w:rsidRDefault="001C0D62">
            <w:pPr>
              <w:autoSpaceDE w:val="0"/>
              <w:autoSpaceDN w:val="0"/>
              <w:adjustRightInd w:val="0"/>
              <w:rPr>
                <w:rFonts w:ascii="Arial" w:hAnsi="Arial" w:cs="Arial"/>
              </w:rPr>
            </w:pPr>
            <w:r>
              <w:rPr>
                <w:rFonts w:ascii="Arial" w:hAnsi="Arial" w:cs="Arial"/>
              </w:rPr>
              <w:t>.2043</w:t>
            </w:r>
          </w:p>
        </w:tc>
        <w:tc>
          <w:tcPr>
            <w:tcW w:w="1260" w:type="dxa"/>
          </w:tcPr>
          <w:p w:rsidR="001C0D62" w:rsidRDefault="001C0D62">
            <w:pPr>
              <w:autoSpaceDE w:val="0"/>
              <w:autoSpaceDN w:val="0"/>
              <w:adjustRightInd w:val="0"/>
              <w:rPr>
                <w:rFonts w:ascii="Arial" w:hAnsi="Arial" w:cs="Arial"/>
              </w:rPr>
            </w:pPr>
            <w:r>
              <w:rPr>
                <w:rFonts w:ascii="Arial" w:hAnsi="Arial" w:cs="Arial"/>
              </w:rPr>
              <w:t>.2605</w:t>
            </w:r>
          </w:p>
        </w:tc>
        <w:tc>
          <w:tcPr>
            <w:tcW w:w="1080" w:type="dxa"/>
          </w:tcPr>
          <w:p w:rsidR="001C0D62" w:rsidRDefault="001C0D62">
            <w:pPr>
              <w:autoSpaceDE w:val="0"/>
              <w:autoSpaceDN w:val="0"/>
              <w:adjustRightInd w:val="0"/>
              <w:rPr>
                <w:rFonts w:ascii="Arial" w:hAnsi="Arial" w:cs="Arial"/>
              </w:rPr>
            </w:pPr>
            <w:r>
              <w:rPr>
                <w:rFonts w:ascii="Arial" w:hAnsi="Arial" w:cs="Arial"/>
              </w:rPr>
              <w:t>.3081</w:t>
            </w:r>
          </w:p>
        </w:tc>
        <w:tc>
          <w:tcPr>
            <w:tcW w:w="1440" w:type="dxa"/>
          </w:tcPr>
          <w:p w:rsidR="001C0D62" w:rsidRDefault="001C0D62">
            <w:pPr>
              <w:autoSpaceDE w:val="0"/>
              <w:autoSpaceDN w:val="0"/>
              <w:adjustRightInd w:val="0"/>
              <w:rPr>
                <w:rFonts w:ascii="Arial" w:hAnsi="Arial" w:cs="Arial"/>
              </w:rPr>
            </w:pPr>
            <w:r>
              <w:rPr>
                <w:rFonts w:ascii="Arial" w:hAnsi="Arial" w:cs="Arial"/>
              </w:rPr>
              <w:t>.3621</w:t>
            </w:r>
          </w:p>
        </w:tc>
        <w:tc>
          <w:tcPr>
            <w:tcW w:w="1260" w:type="dxa"/>
          </w:tcPr>
          <w:p w:rsidR="001C0D62" w:rsidRDefault="001C0D62">
            <w:pPr>
              <w:autoSpaceDE w:val="0"/>
              <w:autoSpaceDN w:val="0"/>
              <w:adjustRightInd w:val="0"/>
              <w:rPr>
                <w:rFonts w:ascii="Arial" w:hAnsi="Arial" w:cs="Arial"/>
              </w:rPr>
            </w:pPr>
            <w:r>
              <w:rPr>
                <w:rFonts w:ascii="Arial" w:hAnsi="Arial" w:cs="Arial"/>
              </w:rPr>
              <w:t>.3978</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40</w:t>
            </w:r>
          </w:p>
        </w:tc>
        <w:tc>
          <w:tcPr>
            <w:tcW w:w="1800" w:type="dxa"/>
          </w:tcPr>
          <w:p w:rsidR="001C0D62" w:rsidRDefault="001C0D62">
            <w:pPr>
              <w:autoSpaceDE w:val="0"/>
              <w:autoSpaceDN w:val="0"/>
              <w:adjustRightInd w:val="0"/>
              <w:rPr>
                <w:rFonts w:ascii="Arial" w:hAnsi="Arial" w:cs="Arial"/>
              </w:rPr>
            </w:pPr>
            <w:r>
              <w:rPr>
                <w:rFonts w:ascii="Arial" w:hAnsi="Arial" w:cs="Arial"/>
              </w:rPr>
              <w:t>.1070</w:t>
            </w:r>
          </w:p>
        </w:tc>
        <w:tc>
          <w:tcPr>
            <w:tcW w:w="1260" w:type="dxa"/>
          </w:tcPr>
          <w:p w:rsidR="001C0D62" w:rsidRDefault="001C0D62">
            <w:pPr>
              <w:autoSpaceDE w:val="0"/>
              <w:autoSpaceDN w:val="0"/>
              <w:adjustRightInd w:val="0"/>
              <w:rPr>
                <w:rFonts w:ascii="Arial" w:hAnsi="Arial" w:cs="Arial"/>
              </w:rPr>
            </w:pPr>
            <w:r>
              <w:rPr>
                <w:rFonts w:ascii="Arial" w:hAnsi="Arial" w:cs="Arial"/>
              </w:rPr>
              <w:t>.2018</w:t>
            </w:r>
          </w:p>
        </w:tc>
        <w:tc>
          <w:tcPr>
            <w:tcW w:w="1260" w:type="dxa"/>
          </w:tcPr>
          <w:p w:rsidR="001C0D62" w:rsidRDefault="001C0D62">
            <w:pPr>
              <w:autoSpaceDE w:val="0"/>
              <w:autoSpaceDN w:val="0"/>
              <w:adjustRightInd w:val="0"/>
              <w:rPr>
                <w:rFonts w:ascii="Arial" w:hAnsi="Arial" w:cs="Arial"/>
              </w:rPr>
            </w:pPr>
            <w:r>
              <w:rPr>
                <w:rFonts w:ascii="Arial" w:hAnsi="Arial" w:cs="Arial"/>
              </w:rPr>
              <w:t>.2573</w:t>
            </w:r>
          </w:p>
        </w:tc>
        <w:tc>
          <w:tcPr>
            <w:tcW w:w="1080" w:type="dxa"/>
          </w:tcPr>
          <w:p w:rsidR="001C0D62" w:rsidRDefault="001C0D62">
            <w:pPr>
              <w:autoSpaceDE w:val="0"/>
              <w:autoSpaceDN w:val="0"/>
              <w:adjustRightInd w:val="0"/>
              <w:rPr>
                <w:rFonts w:ascii="Arial" w:hAnsi="Arial" w:cs="Arial"/>
              </w:rPr>
            </w:pPr>
            <w:r>
              <w:rPr>
                <w:rFonts w:ascii="Arial" w:hAnsi="Arial" w:cs="Arial"/>
              </w:rPr>
              <w:t>.3044</w:t>
            </w:r>
          </w:p>
        </w:tc>
        <w:tc>
          <w:tcPr>
            <w:tcW w:w="1440" w:type="dxa"/>
          </w:tcPr>
          <w:p w:rsidR="001C0D62" w:rsidRDefault="001C0D62">
            <w:pPr>
              <w:autoSpaceDE w:val="0"/>
              <w:autoSpaceDN w:val="0"/>
              <w:adjustRightInd w:val="0"/>
              <w:rPr>
                <w:rFonts w:ascii="Arial" w:hAnsi="Arial" w:cs="Arial"/>
              </w:rPr>
            </w:pPr>
            <w:r>
              <w:rPr>
                <w:rFonts w:ascii="Arial" w:hAnsi="Arial" w:cs="Arial"/>
              </w:rPr>
              <w:t>.3578</w:t>
            </w:r>
          </w:p>
        </w:tc>
        <w:tc>
          <w:tcPr>
            <w:tcW w:w="1260" w:type="dxa"/>
          </w:tcPr>
          <w:p w:rsidR="001C0D62" w:rsidRDefault="001C0D62">
            <w:pPr>
              <w:autoSpaceDE w:val="0"/>
              <w:autoSpaceDN w:val="0"/>
              <w:adjustRightInd w:val="0"/>
              <w:rPr>
                <w:rFonts w:ascii="Arial" w:hAnsi="Arial" w:cs="Arial"/>
              </w:rPr>
            </w:pPr>
            <w:r>
              <w:rPr>
                <w:rFonts w:ascii="Arial" w:hAnsi="Arial" w:cs="Arial"/>
              </w:rPr>
              <w:t>.3932</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41</w:t>
            </w:r>
          </w:p>
        </w:tc>
        <w:tc>
          <w:tcPr>
            <w:tcW w:w="1800" w:type="dxa"/>
          </w:tcPr>
          <w:p w:rsidR="001C0D62" w:rsidRDefault="001C0D62">
            <w:pPr>
              <w:autoSpaceDE w:val="0"/>
              <w:autoSpaceDN w:val="0"/>
              <w:adjustRightInd w:val="0"/>
              <w:rPr>
                <w:rFonts w:ascii="Arial" w:hAnsi="Arial" w:cs="Arial"/>
              </w:rPr>
            </w:pPr>
            <w:r>
              <w:rPr>
                <w:rFonts w:ascii="Arial" w:hAnsi="Arial" w:cs="Arial"/>
              </w:rPr>
              <w:t>.1057</w:t>
            </w:r>
          </w:p>
        </w:tc>
        <w:tc>
          <w:tcPr>
            <w:tcW w:w="1260" w:type="dxa"/>
          </w:tcPr>
          <w:p w:rsidR="001C0D62" w:rsidRDefault="001C0D62">
            <w:pPr>
              <w:autoSpaceDE w:val="0"/>
              <w:autoSpaceDN w:val="0"/>
              <w:adjustRightInd w:val="0"/>
              <w:rPr>
                <w:rFonts w:ascii="Arial" w:hAnsi="Arial" w:cs="Arial"/>
              </w:rPr>
            </w:pPr>
            <w:r>
              <w:rPr>
                <w:rFonts w:ascii="Arial" w:hAnsi="Arial" w:cs="Arial"/>
              </w:rPr>
              <w:t>.1993</w:t>
            </w:r>
          </w:p>
        </w:tc>
        <w:tc>
          <w:tcPr>
            <w:tcW w:w="1260" w:type="dxa"/>
          </w:tcPr>
          <w:p w:rsidR="001C0D62" w:rsidRDefault="001C0D62">
            <w:pPr>
              <w:autoSpaceDE w:val="0"/>
              <w:autoSpaceDN w:val="0"/>
              <w:adjustRightInd w:val="0"/>
              <w:rPr>
                <w:rFonts w:ascii="Arial" w:hAnsi="Arial" w:cs="Arial"/>
              </w:rPr>
            </w:pPr>
            <w:r>
              <w:rPr>
                <w:rFonts w:ascii="Arial" w:hAnsi="Arial" w:cs="Arial"/>
              </w:rPr>
              <w:t>.2542</w:t>
            </w:r>
          </w:p>
        </w:tc>
        <w:tc>
          <w:tcPr>
            <w:tcW w:w="1080" w:type="dxa"/>
          </w:tcPr>
          <w:p w:rsidR="001C0D62" w:rsidRDefault="001C0D62">
            <w:pPr>
              <w:autoSpaceDE w:val="0"/>
              <w:autoSpaceDN w:val="0"/>
              <w:adjustRightInd w:val="0"/>
              <w:rPr>
                <w:rFonts w:ascii="Arial" w:hAnsi="Arial" w:cs="Arial"/>
              </w:rPr>
            </w:pPr>
            <w:r>
              <w:rPr>
                <w:rFonts w:ascii="Arial" w:hAnsi="Arial" w:cs="Arial"/>
              </w:rPr>
              <w:t>.3008</w:t>
            </w:r>
          </w:p>
        </w:tc>
        <w:tc>
          <w:tcPr>
            <w:tcW w:w="1440" w:type="dxa"/>
          </w:tcPr>
          <w:p w:rsidR="001C0D62" w:rsidRDefault="001C0D62">
            <w:pPr>
              <w:autoSpaceDE w:val="0"/>
              <w:autoSpaceDN w:val="0"/>
              <w:adjustRightInd w:val="0"/>
              <w:rPr>
                <w:rFonts w:ascii="Arial" w:hAnsi="Arial" w:cs="Arial"/>
              </w:rPr>
            </w:pPr>
            <w:r>
              <w:rPr>
                <w:rFonts w:ascii="Arial" w:hAnsi="Arial" w:cs="Arial"/>
              </w:rPr>
              <w:t>.3536</w:t>
            </w:r>
          </w:p>
        </w:tc>
        <w:tc>
          <w:tcPr>
            <w:tcW w:w="1260" w:type="dxa"/>
          </w:tcPr>
          <w:p w:rsidR="001C0D62" w:rsidRDefault="001C0D62">
            <w:pPr>
              <w:autoSpaceDE w:val="0"/>
              <w:autoSpaceDN w:val="0"/>
              <w:adjustRightInd w:val="0"/>
              <w:rPr>
                <w:rFonts w:ascii="Arial" w:hAnsi="Arial" w:cs="Arial"/>
              </w:rPr>
            </w:pPr>
            <w:r>
              <w:rPr>
                <w:rFonts w:ascii="Arial" w:hAnsi="Arial" w:cs="Arial"/>
              </w:rPr>
              <w:t>.3887</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42</w:t>
            </w:r>
          </w:p>
        </w:tc>
        <w:tc>
          <w:tcPr>
            <w:tcW w:w="1800" w:type="dxa"/>
          </w:tcPr>
          <w:p w:rsidR="001C0D62" w:rsidRDefault="001C0D62">
            <w:pPr>
              <w:autoSpaceDE w:val="0"/>
              <w:autoSpaceDN w:val="0"/>
              <w:adjustRightInd w:val="0"/>
              <w:rPr>
                <w:rFonts w:ascii="Arial" w:hAnsi="Arial" w:cs="Arial"/>
              </w:rPr>
            </w:pPr>
            <w:r>
              <w:rPr>
                <w:rFonts w:ascii="Arial" w:hAnsi="Arial" w:cs="Arial"/>
              </w:rPr>
              <w:t>.1044</w:t>
            </w:r>
          </w:p>
        </w:tc>
        <w:tc>
          <w:tcPr>
            <w:tcW w:w="1260" w:type="dxa"/>
          </w:tcPr>
          <w:p w:rsidR="001C0D62" w:rsidRDefault="001C0D62">
            <w:pPr>
              <w:autoSpaceDE w:val="0"/>
              <w:autoSpaceDN w:val="0"/>
              <w:adjustRightInd w:val="0"/>
              <w:rPr>
                <w:rFonts w:ascii="Arial" w:hAnsi="Arial" w:cs="Arial"/>
              </w:rPr>
            </w:pPr>
            <w:r>
              <w:rPr>
                <w:rFonts w:ascii="Arial" w:hAnsi="Arial" w:cs="Arial"/>
              </w:rPr>
              <w:t>.1970</w:t>
            </w:r>
          </w:p>
        </w:tc>
        <w:tc>
          <w:tcPr>
            <w:tcW w:w="1260" w:type="dxa"/>
          </w:tcPr>
          <w:p w:rsidR="001C0D62" w:rsidRDefault="001C0D62">
            <w:pPr>
              <w:autoSpaceDE w:val="0"/>
              <w:autoSpaceDN w:val="0"/>
              <w:adjustRightInd w:val="0"/>
              <w:rPr>
                <w:rFonts w:ascii="Arial" w:hAnsi="Arial" w:cs="Arial"/>
              </w:rPr>
            </w:pPr>
            <w:r>
              <w:rPr>
                <w:rFonts w:ascii="Arial" w:hAnsi="Arial" w:cs="Arial"/>
              </w:rPr>
              <w:t>.2512</w:t>
            </w:r>
          </w:p>
        </w:tc>
        <w:tc>
          <w:tcPr>
            <w:tcW w:w="1080" w:type="dxa"/>
          </w:tcPr>
          <w:p w:rsidR="001C0D62" w:rsidRDefault="001C0D62">
            <w:pPr>
              <w:autoSpaceDE w:val="0"/>
              <w:autoSpaceDN w:val="0"/>
              <w:adjustRightInd w:val="0"/>
              <w:rPr>
                <w:rFonts w:ascii="Arial" w:hAnsi="Arial" w:cs="Arial"/>
              </w:rPr>
            </w:pPr>
            <w:r>
              <w:rPr>
                <w:rFonts w:ascii="Arial" w:hAnsi="Arial" w:cs="Arial"/>
              </w:rPr>
              <w:t>.2973</w:t>
            </w:r>
          </w:p>
        </w:tc>
        <w:tc>
          <w:tcPr>
            <w:tcW w:w="1440" w:type="dxa"/>
          </w:tcPr>
          <w:p w:rsidR="001C0D62" w:rsidRDefault="001C0D62">
            <w:pPr>
              <w:autoSpaceDE w:val="0"/>
              <w:autoSpaceDN w:val="0"/>
              <w:adjustRightInd w:val="0"/>
              <w:rPr>
                <w:rFonts w:ascii="Arial" w:hAnsi="Arial" w:cs="Arial"/>
              </w:rPr>
            </w:pPr>
            <w:r>
              <w:rPr>
                <w:rFonts w:ascii="Arial" w:hAnsi="Arial" w:cs="Arial"/>
              </w:rPr>
              <w:t>.3496</w:t>
            </w:r>
          </w:p>
        </w:tc>
        <w:tc>
          <w:tcPr>
            <w:tcW w:w="1260" w:type="dxa"/>
          </w:tcPr>
          <w:p w:rsidR="001C0D62" w:rsidRDefault="001C0D62">
            <w:pPr>
              <w:autoSpaceDE w:val="0"/>
              <w:autoSpaceDN w:val="0"/>
              <w:adjustRightInd w:val="0"/>
              <w:rPr>
                <w:rFonts w:ascii="Arial" w:hAnsi="Arial" w:cs="Arial"/>
              </w:rPr>
            </w:pPr>
            <w:r>
              <w:rPr>
                <w:rFonts w:ascii="Arial" w:hAnsi="Arial" w:cs="Arial"/>
              </w:rPr>
              <w:t>.3843</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43</w:t>
            </w:r>
          </w:p>
        </w:tc>
        <w:tc>
          <w:tcPr>
            <w:tcW w:w="1800" w:type="dxa"/>
          </w:tcPr>
          <w:p w:rsidR="001C0D62" w:rsidRDefault="001C0D62">
            <w:pPr>
              <w:autoSpaceDE w:val="0"/>
              <w:autoSpaceDN w:val="0"/>
              <w:adjustRightInd w:val="0"/>
              <w:rPr>
                <w:rFonts w:ascii="Arial" w:hAnsi="Arial" w:cs="Arial"/>
              </w:rPr>
            </w:pPr>
            <w:r>
              <w:rPr>
                <w:rFonts w:ascii="Arial" w:hAnsi="Arial" w:cs="Arial"/>
              </w:rPr>
              <w:t>.1032</w:t>
            </w:r>
          </w:p>
        </w:tc>
        <w:tc>
          <w:tcPr>
            <w:tcW w:w="1260" w:type="dxa"/>
          </w:tcPr>
          <w:p w:rsidR="001C0D62" w:rsidRDefault="001C0D62">
            <w:pPr>
              <w:autoSpaceDE w:val="0"/>
              <w:autoSpaceDN w:val="0"/>
              <w:adjustRightInd w:val="0"/>
              <w:rPr>
                <w:rFonts w:ascii="Arial" w:hAnsi="Arial" w:cs="Arial"/>
              </w:rPr>
            </w:pPr>
            <w:r>
              <w:rPr>
                <w:rFonts w:ascii="Arial" w:hAnsi="Arial" w:cs="Arial"/>
              </w:rPr>
              <w:t>.1947</w:t>
            </w:r>
          </w:p>
        </w:tc>
        <w:tc>
          <w:tcPr>
            <w:tcW w:w="1260" w:type="dxa"/>
          </w:tcPr>
          <w:p w:rsidR="001C0D62" w:rsidRDefault="001C0D62">
            <w:pPr>
              <w:autoSpaceDE w:val="0"/>
              <w:autoSpaceDN w:val="0"/>
              <w:adjustRightInd w:val="0"/>
              <w:rPr>
                <w:rFonts w:ascii="Arial" w:hAnsi="Arial" w:cs="Arial"/>
              </w:rPr>
            </w:pPr>
            <w:r>
              <w:rPr>
                <w:rFonts w:ascii="Arial" w:hAnsi="Arial" w:cs="Arial"/>
              </w:rPr>
              <w:t>.2483</w:t>
            </w:r>
          </w:p>
        </w:tc>
        <w:tc>
          <w:tcPr>
            <w:tcW w:w="1080" w:type="dxa"/>
          </w:tcPr>
          <w:p w:rsidR="001C0D62" w:rsidRDefault="001C0D62">
            <w:pPr>
              <w:autoSpaceDE w:val="0"/>
              <w:autoSpaceDN w:val="0"/>
              <w:adjustRightInd w:val="0"/>
              <w:rPr>
                <w:rFonts w:ascii="Arial" w:hAnsi="Arial" w:cs="Arial"/>
              </w:rPr>
            </w:pPr>
            <w:r>
              <w:rPr>
                <w:rFonts w:ascii="Arial" w:hAnsi="Arial" w:cs="Arial"/>
              </w:rPr>
              <w:t>.2940</w:t>
            </w:r>
          </w:p>
        </w:tc>
        <w:tc>
          <w:tcPr>
            <w:tcW w:w="1440" w:type="dxa"/>
          </w:tcPr>
          <w:p w:rsidR="001C0D62" w:rsidRDefault="001C0D62">
            <w:pPr>
              <w:autoSpaceDE w:val="0"/>
              <w:autoSpaceDN w:val="0"/>
              <w:adjustRightInd w:val="0"/>
              <w:rPr>
                <w:rFonts w:ascii="Arial" w:hAnsi="Arial" w:cs="Arial"/>
              </w:rPr>
            </w:pPr>
            <w:r>
              <w:rPr>
                <w:rFonts w:ascii="Arial" w:hAnsi="Arial" w:cs="Arial"/>
              </w:rPr>
              <w:t>.3457</w:t>
            </w:r>
          </w:p>
        </w:tc>
        <w:tc>
          <w:tcPr>
            <w:tcW w:w="1260" w:type="dxa"/>
          </w:tcPr>
          <w:p w:rsidR="001C0D62" w:rsidRDefault="001C0D62">
            <w:pPr>
              <w:autoSpaceDE w:val="0"/>
              <w:autoSpaceDN w:val="0"/>
              <w:adjustRightInd w:val="0"/>
              <w:rPr>
                <w:rFonts w:ascii="Arial" w:hAnsi="Arial" w:cs="Arial"/>
              </w:rPr>
            </w:pPr>
            <w:r>
              <w:rPr>
                <w:rFonts w:ascii="Arial" w:hAnsi="Arial" w:cs="Arial"/>
              </w:rPr>
              <w:t>.3801</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44</w:t>
            </w:r>
          </w:p>
        </w:tc>
        <w:tc>
          <w:tcPr>
            <w:tcW w:w="1800" w:type="dxa"/>
          </w:tcPr>
          <w:p w:rsidR="001C0D62" w:rsidRDefault="001C0D62">
            <w:pPr>
              <w:autoSpaceDE w:val="0"/>
              <w:autoSpaceDN w:val="0"/>
              <w:adjustRightInd w:val="0"/>
              <w:rPr>
                <w:rFonts w:ascii="Arial" w:hAnsi="Arial" w:cs="Arial"/>
              </w:rPr>
            </w:pPr>
            <w:r>
              <w:rPr>
                <w:rFonts w:ascii="Arial" w:hAnsi="Arial" w:cs="Arial"/>
              </w:rPr>
              <w:t>.1020</w:t>
            </w:r>
          </w:p>
        </w:tc>
        <w:tc>
          <w:tcPr>
            <w:tcW w:w="1260" w:type="dxa"/>
          </w:tcPr>
          <w:p w:rsidR="001C0D62" w:rsidRDefault="001C0D62">
            <w:pPr>
              <w:autoSpaceDE w:val="0"/>
              <w:autoSpaceDN w:val="0"/>
              <w:adjustRightInd w:val="0"/>
              <w:rPr>
                <w:rFonts w:ascii="Arial" w:hAnsi="Arial" w:cs="Arial"/>
              </w:rPr>
            </w:pPr>
            <w:r>
              <w:rPr>
                <w:rFonts w:ascii="Arial" w:hAnsi="Arial" w:cs="Arial"/>
              </w:rPr>
              <w:t>.1925</w:t>
            </w:r>
          </w:p>
        </w:tc>
        <w:tc>
          <w:tcPr>
            <w:tcW w:w="1260" w:type="dxa"/>
          </w:tcPr>
          <w:p w:rsidR="001C0D62" w:rsidRDefault="001C0D62">
            <w:pPr>
              <w:autoSpaceDE w:val="0"/>
              <w:autoSpaceDN w:val="0"/>
              <w:adjustRightInd w:val="0"/>
              <w:rPr>
                <w:rFonts w:ascii="Arial" w:hAnsi="Arial" w:cs="Arial"/>
              </w:rPr>
            </w:pPr>
            <w:r>
              <w:rPr>
                <w:rFonts w:ascii="Arial" w:hAnsi="Arial" w:cs="Arial"/>
              </w:rPr>
              <w:t>.2455</w:t>
            </w:r>
          </w:p>
        </w:tc>
        <w:tc>
          <w:tcPr>
            <w:tcW w:w="1080" w:type="dxa"/>
          </w:tcPr>
          <w:p w:rsidR="001C0D62" w:rsidRDefault="001C0D62">
            <w:pPr>
              <w:autoSpaceDE w:val="0"/>
              <w:autoSpaceDN w:val="0"/>
              <w:adjustRightInd w:val="0"/>
              <w:rPr>
                <w:rFonts w:ascii="Arial" w:hAnsi="Arial" w:cs="Arial"/>
              </w:rPr>
            </w:pPr>
            <w:r>
              <w:rPr>
                <w:rFonts w:ascii="Arial" w:hAnsi="Arial" w:cs="Arial"/>
              </w:rPr>
              <w:t>.2907</w:t>
            </w:r>
          </w:p>
        </w:tc>
        <w:tc>
          <w:tcPr>
            <w:tcW w:w="1440" w:type="dxa"/>
          </w:tcPr>
          <w:p w:rsidR="001C0D62" w:rsidRDefault="001C0D62">
            <w:pPr>
              <w:autoSpaceDE w:val="0"/>
              <w:autoSpaceDN w:val="0"/>
              <w:adjustRightInd w:val="0"/>
              <w:rPr>
                <w:rFonts w:ascii="Arial" w:hAnsi="Arial" w:cs="Arial"/>
              </w:rPr>
            </w:pPr>
            <w:r>
              <w:rPr>
                <w:rFonts w:ascii="Arial" w:hAnsi="Arial" w:cs="Arial"/>
              </w:rPr>
              <w:t>.3420</w:t>
            </w:r>
          </w:p>
        </w:tc>
        <w:tc>
          <w:tcPr>
            <w:tcW w:w="1260" w:type="dxa"/>
          </w:tcPr>
          <w:p w:rsidR="001C0D62" w:rsidRDefault="001C0D62">
            <w:pPr>
              <w:autoSpaceDE w:val="0"/>
              <w:autoSpaceDN w:val="0"/>
              <w:adjustRightInd w:val="0"/>
              <w:rPr>
                <w:rFonts w:ascii="Arial" w:hAnsi="Arial" w:cs="Arial"/>
              </w:rPr>
            </w:pPr>
            <w:r>
              <w:rPr>
                <w:rFonts w:ascii="Arial" w:hAnsi="Arial" w:cs="Arial"/>
              </w:rPr>
              <w:t>.3761</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45</w:t>
            </w:r>
          </w:p>
        </w:tc>
        <w:tc>
          <w:tcPr>
            <w:tcW w:w="1800" w:type="dxa"/>
          </w:tcPr>
          <w:p w:rsidR="001C0D62" w:rsidRDefault="001C0D62">
            <w:pPr>
              <w:autoSpaceDE w:val="0"/>
              <w:autoSpaceDN w:val="0"/>
              <w:adjustRightInd w:val="0"/>
              <w:rPr>
                <w:rFonts w:ascii="Arial" w:hAnsi="Arial" w:cs="Arial"/>
              </w:rPr>
            </w:pPr>
            <w:r>
              <w:rPr>
                <w:rFonts w:ascii="Arial" w:hAnsi="Arial" w:cs="Arial"/>
              </w:rPr>
              <w:t>.1008</w:t>
            </w:r>
          </w:p>
        </w:tc>
        <w:tc>
          <w:tcPr>
            <w:tcW w:w="1260" w:type="dxa"/>
          </w:tcPr>
          <w:p w:rsidR="001C0D62" w:rsidRDefault="001C0D62">
            <w:pPr>
              <w:autoSpaceDE w:val="0"/>
              <w:autoSpaceDN w:val="0"/>
              <w:adjustRightInd w:val="0"/>
              <w:rPr>
                <w:rFonts w:ascii="Arial" w:hAnsi="Arial" w:cs="Arial"/>
              </w:rPr>
            </w:pPr>
            <w:r>
              <w:rPr>
                <w:rFonts w:ascii="Arial" w:hAnsi="Arial" w:cs="Arial"/>
              </w:rPr>
              <w:t>.1903</w:t>
            </w:r>
          </w:p>
        </w:tc>
        <w:tc>
          <w:tcPr>
            <w:tcW w:w="1260" w:type="dxa"/>
          </w:tcPr>
          <w:p w:rsidR="001C0D62" w:rsidRDefault="001C0D62">
            <w:pPr>
              <w:autoSpaceDE w:val="0"/>
              <w:autoSpaceDN w:val="0"/>
              <w:adjustRightInd w:val="0"/>
              <w:rPr>
                <w:rFonts w:ascii="Arial" w:hAnsi="Arial" w:cs="Arial"/>
              </w:rPr>
            </w:pPr>
            <w:r>
              <w:rPr>
                <w:rFonts w:ascii="Arial" w:hAnsi="Arial" w:cs="Arial"/>
              </w:rPr>
              <w:t>.2429</w:t>
            </w:r>
          </w:p>
        </w:tc>
        <w:tc>
          <w:tcPr>
            <w:tcW w:w="1080" w:type="dxa"/>
          </w:tcPr>
          <w:p w:rsidR="001C0D62" w:rsidRDefault="001C0D62">
            <w:pPr>
              <w:autoSpaceDE w:val="0"/>
              <w:autoSpaceDN w:val="0"/>
              <w:adjustRightInd w:val="0"/>
              <w:rPr>
                <w:rFonts w:ascii="Arial" w:hAnsi="Arial" w:cs="Arial"/>
              </w:rPr>
            </w:pPr>
            <w:r>
              <w:rPr>
                <w:rFonts w:ascii="Arial" w:hAnsi="Arial" w:cs="Arial"/>
              </w:rPr>
              <w:t>.2876</w:t>
            </w:r>
          </w:p>
        </w:tc>
        <w:tc>
          <w:tcPr>
            <w:tcW w:w="1440" w:type="dxa"/>
          </w:tcPr>
          <w:p w:rsidR="001C0D62" w:rsidRDefault="001C0D62">
            <w:pPr>
              <w:autoSpaceDE w:val="0"/>
              <w:autoSpaceDN w:val="0"/>
              <w:adjustRightInd w:val="0"/>
              <w:rPr>
                <w:rFonts w:ascii="Arial" w:hAnsi="Arial" w:cs="Arial"/>
              </w:rPr>
            </w:pPr>
            <w:r>
              <w:rPr>
                <w:rFonts w:ascii="Arial" w:hAnsi="Arial" w:cs="Arial"/>
              </w:rPr>
              <w:t>.3384</w:t>
            </w:r>
          </w:p>
        </w:tc>
        <w:tc>
          <w:tcPr>
            <w:tcW w:w="1260" w:type="dxa"/>
          </w:tcPr>
          <w:p w:rsidR="001C0D62" w:rsidRDefault="001C0D62">
            <w:pPr>
              <w:autoSpaceDE w:val="0"/>
              <w:autoSpaceDN w:val="0"/>
              <w:adjustRightInd w:val="0"/>
              <w:rPr>
                <w:rFonts w:ascii="Arial" w:hAnsi="Arial" w:cs="Arial"/>
              </w:rPr>
            </w:pPr>
            <w:r>
              <w:rPr>
                <w:rFonts w:ascii="Arial" w:hAnsi="Arial" w:cs="Arial"/>
              </w:rPr>
              <w:t>.3721</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46</w:t>
            </w:r>
          </w:p>
        </w:tc>
        <w:tc>
          <w:tcPr>
            <w:tcW w:w="1800" w:type="dxa"/>
          </w:tcPr>
          <w:p w:rsidR="001C0D62" w:rsidRDefault="001C0D62">
            <w:pPr>
              <w:autoSpaceDE w:val="0"/>
              <w:autoSpaceDN w:val="0"/>
              <w:adjustRightInd w:val="0"/>
              <w:rPr>
                <w:rFonts w:ascii="Arial" w:hAnsi="Arial" w:cs="Arial"/>
              </w:rPr>
            </w:pPr>
            <w:r>
              <w:rPr>
                <w:rFonts w:ascii="Arial" w:hAnsi="Arial" w:cs="Arial"/>
              </w:rPr>
              <w:t>.0997</w:t>
            </w:r>
          </w:p>
        </w:tc>
        <w:tc>
          <w:tcPr>
            <w:tcW w:w="1260" w:type="dxa"/>
          </w:tcPr>
          <w:p w:rsidR="001C0D62" w:rsidRDefault="001C0D62">
            <w:pPr>
              <w:autoSpaceDE w:val="0"/>
              <w:autoSpaceDN w:val="0"/>
              <w:adjustRightInd w:val="0"/>
              <w:rPr>
                <w:rFonts w:ascii="Arial" w:hAnsi="Arial" w:cs="Arial"/>
              </w:rPr>
            </w:pPr>
            <w:r>
              <w:rPr>
                <w:rFonts w:ascii="Arial" w:hAnsi="Arial" w:cs="Arial"/>
              </w:rPr>
              <w:t>.1883</w:t>
            </w:r>
          </w:p>
        </w:tc>
        <w:tc>
          <w:tcPr>
            <w:tcW w:w="1260" w:type="dxa"/>
          </w:tcPr>
          <w:p w:rsidR="001C0D62" w:rsidRDefault="001C0D62">
            <w:pPr>
              <w:autoSpaceDE w:val="0"/>
              <w:autoSpaceDN w:val="0"/>
              <w:adjustRightInd w:val="0"/>
              <w:rPr>
                <w:rFonts w:ascii="Arial" w:hAnsi="Arial" w:cs="Arial"/>
              </w:rPr>
            </w:pPr>
            <w:r>
              <w:rPr>
                <w:rFonts w:ascii="Arial" w:hAnsi="Arial" w:cs="Arial"/>
              </w:rPr>
              <w:t>.2403</w:t>
            </w:r>
          </w:p>
        </w:tc>
        <w:tc>
          <w:tcPr>
            <w:tcW w:w="1080" w:type="dxa"/>
          </w:tcPr>
          <w:p w:rsidR="001C0D62" w:rsidRDefault="001C0D62">
            <w:pPr>
              <w:autoSpaceDE w:val="0"/>
              <w:autoSpaceDN w:val="0"/>
              <w:adjustRightInd w:val="0"/>
              <w:rPr>
                <w:rFonts w:ascii="Arial" w:hAnsi="Arial" w:cs="Arial"/>
              </w:rPr>
            </w:pPr>
            <w:r>
              <w:rPr>
                <w:rFonts w:ascii="Arial" w:hAnsi="Arial" w:cs="Arial"/>
              </w:rPr>
              <w:t>.2845</w:t>
            </w:r>
          </w:p>
        </w:tc>
        <w:tc>
          <w:tcPr>
            <w:tcW w:w="1440" w:type="dxa"/>
          </w:tcPr>
          <w:p w:rsidR="001C0D62" w:rsidRDefault="001C0D62">
            <w:pPr>
              <w:autoSpaceDE w:val="0"/>
              <w:autoSpaceDN w:val="0"/>
              <w:adjustRightInd w:val="0"/>
              <w:rPr>
                <w:rFonts w:ascii="Arial" w:hAnsi="Arial" w:cs="Arial"/>
              </w:rPr>
            </w:pPr>
            <w:r>
              <w:rPr>
                <w:rFonts w:ascii="Arial" w:hAnsi="Arial" w:cs="Arial"/>
              </w:rPr>
              <w:t>.3348</w:t>
            </w:r>
          </w:p>
        </w:tc>
        <w:tc>
          <w:tcPr>
            <w:tcW w:w="1260" w:type="dxa"/>
          </w:tcPr>
          <w:p w:rsidR="001C0D62" w:rsidRDefault="001C0D62">
            <w:pPr>
              <w:autoSpaceDE w:val="0"/>
              <w:autoSpaceDN w:val="0"/>
              <w:adjustRightInd w:val="0"/>
              <w:rPr>
                <w:rFonts w:ascii="Arial" w:hAnsi="Arial" w:cs="Arial"/>
              </w:rPr>
            </w:pPr>
            <w:r>
              <w:rPr>
                <w:rFonts w:ascii="Arial" w:hAnsi="Arial" w:cs="Arial"/>
              </w:rPr>
              <w:t>.3683</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47</w:t>
            </w:r>
          </w:p>
        </w:tc>
        <w:tc>
          <w:tcPr>
            <w:tcW w:w="1800" w:type="dxa"/>
          </w:tcPr>
          <w:p w:rsidR="001C0D62" w:rsidRDefault="001C0D62">
            <w:pPr>
              <w:autoSpaceDE w:val="0"/>
              <w:autoSpaceDN w:val="0"/>
              <w:adjustRightInd w:val="0"/>
              <w:rPr>
                <w:rFonts w:ascii="Arial" w:hAnsi="Arial" w:cs="Arial"/>
              </w:rPr>
            </w:pPr>
            <w:r>
              <w:rPr>
                <w:rFonts w:ascii="Arial" w:hAnsi="Arial" w:cs="Arial"/>
              </w:rPr>
              <w:t>.0987</w:t>
            </w:r>
          </w:p>
        </w:tc>
        <w:tc>
          <w:tcPr>
            <w:tcW w:w="1260" w:type="dxa"/>
          </w:tcPr>
          <w:p w:rsidR="001C0D62" w:rsidRDefault="001C0D62">
            <w:pPr>
              <w:autoSpaceDE w:val="0"/>
              <w:autoSpaceDN w:val="0"/>
              <w:adjustRightInd w:val="0"/>
              <w:rPr>
                <w:rFonts w:ascii="Arial" w:hAnsi="Arial" w:cs="Arial"/>
              </w:rPr>
            </w:pPr>
            <w:r>
              <w:rPr>
                <w:rFonts w:ascii="Arial" w:hAnsi="Arial" w:cs="Arial"/>
              </w:rPr>
              <w:t>.1863</w:t>
            </w:r>
          </w:p>
        </w:tc>
        <w:tc>
          <w:tcPr>
            <w:tcW w:w="1260" w:type="dxa"/>
          </w:tcPr>
          <w:p w:rsidR="001C0D62" w:rsidRDefault="001C0D62">
            <w:pPr>
              <w:autoSpaceDE w:val="0"/>
              <w:autoSpaceDN w:val="0"/>
              <w:adjustRightInd w:val="0"/>
              <w:rPr>
                <w:rFonts w:ascii="Arial" w:hAnsi="Arial" w:cs="Arial"/>
              </w:rPr>
            </w:pPr>
            <w:r>
              <w:rPr>
                <w:rFonts w:ascii="Arial" w:hAnsi="Arial" w:cs="Arial"/>
              </w:rPr>
              <w:t>.2377</w:t>
            </w:r>
          </w:p>
        </w:tc>
        <w:tc>
          <w:tcPr>
            <w:tcW w:w="1080" w:type="dxa"/>
          </w:tcPr>
          <w:p w:rsidR="001C0D62" w:rsidRDefault="001C0D62">
            <w:pPr>
              <w:autoSpaceDE w:val="0"/>
              <w:autoSpaceDN w:val="0"/>
              <w:adjustRightInd w:val="0"/>
              <w:rPr>
                <w:rFonts w:ascii="Arial" w:hAnsi="Arial" w:cs="Arial"/>
              </w:rPr>
            </w:pPr>
            <w:r>
              <w:rPr>
                <w:rFonts w:ascii="Arial" w:hAnsi="Arial" w:cs="Arial"/>
              </w:rPr>
              <w:t>.2816</w:t>
            </w:r>
          </w:p>
        </w:tc>
        <w:tc>
          <w:tcPr>
            <w:tcW w:w="1440" w:type="dxa"/>
          </w:tcPr>
          <w:p w:rsidR="001C0D62" w:rsidRDefault="001C0D62">
            <w:pPr>
              <w:autoSpaceDE w:val="0"/>
              <w:autoSpaceDN w:val="0"/>
              <w:adjustRightInd w:val="0"/>
              <w:rPr>
                <w:rFonts w:ascii="Arial" w:hAnsi="Arial" w:cs="Arial"/>
              </w:rPr>
            </w:pPr>
            <w:r>
              <w:rPr>
                <w:rFonts w:ascii="Arial" w:hAnsi="Arial" w:cs="Arial"/>
              </w:rPr>
              <w:t>.3314</w:t>
            </w:r>
          </w:p>
        </w:tc>
        <w:tc>
          <w:tcPr>
            <w:tcW w:w="1260" w:type="dxa"/>
          </w:tcPr>
          <w:p w:rsidR="001C0D62" w:rsidRDefault="001C0D62">
            <w:pPr>
              <w:autoSpaceDE w:val="0"/>
              <w:autoSpaceDN w:val="0"/>
              <w:adjustRightInd w:val="0"/>
              <w:rPr>
                <w:rFonts w:ascii="Arial" w:hAnsi="Arial" w:cs="Arial"/>
              </w:rPr>
            </w:pPr>
            <w:r>
              <w:rPr>
                <w:rFonts w:ascii="Arial" w:hAnsi="Arial" w:cs="Arial"/>
              </w:rPr>
              <w:t>.3646</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48</w:t>
            </w:r>
          </w:p>
        </w:tc>
        <w:tc>
          <w:tcPr>
            <w:tcW w:w="1800" w:type="dxa"/>
          </w:tcPr>
          <w:p w:rsidR="001C0D62" w:rsidRDefault="001C0D62">
            <w:pPr>
              <w:autoSpaceDE w:val="0"/>
              <w:autoSpaceDN w:val="0"/>
              <w:adjustRightInd w:val="0"/>
              <w:rPr>
                <w:rFonts w:ascii="Arial" w:hAnsi="Arial" w:cs="Arial"/>
              </w:rPr>
            </w:pPr>
            <w:r>
              <w:rPr>
                <w:rFonts w:ascii="Arial" w:hAnsi="Arial" w:cs="Arial"/>
              </w:rPr>
              <w:t>.0976</w:t>
            </w:r>
          </w:p>
        </w:tc>
        <w:tc>
          <w:tcPr>
            <w:tcW w:w="1260" w:type="dxa"/>
          </w:tcPr>
          <w:p w:rsidR="001C0D62" w:rsidRDefault="001C0D62">
            <w:pPr>
              <w:autoSpaceDE w:val="0"/>
              <w:autoSpaceDN w:val="0"/>
              <w:adjustRightInd w:val="0"/>
              <w:rPr>
                <w:rFonts w:ascii="Arial" w:hAnsi="Arial" w:cs="Arial"/>
              </w:rPr>
            </w:pPr>
            <w:r>
              <w:rPr>
                <w:rFonts w:ascii="Arial" w:hAnsi="Arial" w:cs="Arial"/>
              </w:rPr>
              <w:t>.1843</w:t>
            </w:r>
          </w:p>
        </w:tc>
        <w:tc>
          <w:tcPr>
            <w:tcW w:w="1260" w:type="dxa"/>
          </w:tcPr>
          <w:p w:rsidR="001C0D62" w:rsidRDefault="001C0D62">
            <w:pPr>
              <w:autoSpaceDE w:val="0"/>
              <w:autoSpaceDN w:val="0"/>
              <w:adjustRightInd w:val="0"/>
              <w:rPr>
                <w:rFonts w:ascii="Arial" w:hAnsi="Arial" w:cs="Arial"/>
              </w:rPr>
            </w:pPr>
            <w:r>
              <w:rPr>
                <w:rFonts w:ascii="Arial" w:hAnsi="Arial" w:cs="Arial"/>
              </w:rPr>
              <w:t>.2353</w:t>
            </w:r>
          </w:p>
        </w:tc>
        <w:tc>
          <w:tcPr>
            <w:tcW w:w="1080" w:type="dxa"/>
          </w:tcPr>
          <w:p w:rsidR="001C0D62" w:rsidRDefault="001C0D62">
            <w:pPr>
              <w:autoSpaceDE w:val="0"/>
              <w:autoSpaceDN w:val="0"/>
              <w:adjustRightInd w:val="0"/>
              <w:rPr>
                <w:rFonts w:ascii="Arial" w:hAnsi="Arial" w:cs="Arial"/>
              </w:rPr>
            </w:pPr>
            <w:r>
              <w:rPr>
                <w:rFonts w:ascii="Arial" w:hAnsi="Arial" w:cs="Arial"/>
              </w:rPr>
              <w:t>.2787</w:t>
            </w:r>
          </w:p>
        </w:tc>
        <w:tc>
          <w:tcPr>
            <w:tcW w:w="1440" w:type="dxa"/>
          </w:tcPr>
          <w:p w:rsidR="001C0D62" w:rsidRDefault="001C0D62">
            <w:pPr>
              <w:autoSpaceDE w:val="0"/>
              <w:autoSpaceDN w:val="0"/>
              <w:adjustRightInd w:val="0"/>
              <w:rPr>
                <w:rFonts w:ascii="Arial" w:hAnsi="Arial" w:cs="Arial"/>
              </w:rPr>
            </w:pPr>
            <w:r>
              <w:rPr>
                <w:rFonts w:ascii="Arial" w:hAnsi="Arial" w:cs="Arial"/>
              </w:rPr>
              <w:t>.3281</w:t>
            </w:r>
          </w:p>
        </w:tc>
        <w:tc>
          <w:tcPr>
            <w:tcW w:w="1260" w:type="dxa"/>
          </w:tcPr>
          <w:p w:rsidR="001C0D62" w:rsidRDefault="001C0D62">
            <w:pPr>
              <w:autoSpaceDE w:val="0"/>
              <w:autoSpaceDN w:val="0"/>
              <w:adjustRightInd w:val="0"/>
              <w:rPr>
                <w:rFonts w:ascii="Arial" w:hAnsi="Arial" w:cs="Arial"/>
              </w:rPr>
            </w:pPr>
            <w:r>
              <w:rPr>
                <w:rFonts w:ascii="Arial" w:hAnsi="Arial" w:cs="Arial"/>
              </w:rPr>
              <w:t>.3610</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49</w:t>
            </w:r>
          </w:p>
        </w:tc>
        <w:tc>
          <w:tcPr>
            <w:tcW w:w="1800" w:type="dxa"/>
          </w:tcPr>
          <w:p w:rsidR="001C0D62" w:rsidRDefault="001C0D62">
            <w:pPr>
              <w:autoSpaceDE w:val="0"/>
              <w:autoSpaceDN w:val="0"/>
              <w:adjustRightInd w:val="0"/>
              <w:rPr>
                <w:rFonts w:ascii="Arial" w:hAnsi="Arial" w:cs="Arial"/>
              </w:rPr>
            </w:pPr>
            <w:r>
              <w:rPr>
                <w:rFonts w:ascii="Arial" w:hAnsi="Arial" w:cs="Arial"/>
              </w:rPr>
              <w:t>.0966</w:t>
            </w:r>
          </w:p>
        </w:tc>
        <w:tc>
          <w:tcPr>
            <w:tcW w:w="1260" w:type="dxa"/>
          </w:tcPr>
          <w:p w:rsidR="001C0D62" w:rsidRDefault="001C0D62">
            <w:pPr>
              <w:autoSpaceDE w:val="0"/>
              <w:autoSpaceDN w:val="0"/>
              <w:adjustRightInd w:val="0"/>
              <w:rPr>
                <w:rFonts w:ascii="Arial" w:hAnsi="Arial" w:cs="Arial"/>
              </w:rPr>
            </w:pPr>
            <w:r>
              <w:rPr>
                <w:rFonts w:ascii="Arial" w:hAnsi="Arial" w:cs="Arial"/>
              </w:rPr>
              <w:t>.1825</w:t>
            </w:r>
          </w:p>
        </w:tc>
        <w:tc>
          <w:tcPr>
            <w:tcW w:w="1260" w:type="dxa"/>
          </w:tcPr>
          <w:p w:rsidR="001C0D62" w:rsidRDefault="001C0D62">
            <w:pPr>
              <w:autoSpaceDE w:val="0"/>
              <w:autoSpaceDN w:val="0"/>
              <w:adjustRightInd w:val="0"/>
              <w:rPr>
                <w:rFonts w:ascii="Arial" w:hAnsi="Arial" w:cs="Arial"/>
              </w:rPr>
            </w:pPr>
            <w:r>
              <w:rPr>
                <w:rFonts w:ascii="Arial" w:hAnsi="Arial" w:cs="Arial"/>
              </w:rPr>
              <w:t>.2329</w:t>
            </w:r>
          </w:p>
        </w:tc>
        <w:tc>
          <w:tcPr>
            <w:tcW w:w="1080" w:type="dxa"/>
          </w:tcPr>
          <w:p w:rsidR="001C0D62" w:rsidRDefault="001C0D62">
            <w:pPr>
              <w:autoSpaceDE w:val="0"/>
              <w:autoSpaceDN w:val="0"/>
              <w:adjustRightInd w:val="0"/>
              <w:rPr>
                <w:rFonts w:ascii="Arial" w:hAnsi="Arial" w:cs="Arial"/>
              </w:rPr>
            </w:pPr>
            <w:r>
              <w:rPr>
                <w:rFonts w:ascii="Arial" w:hAnsi="Arial" w:cs="Arial"/>
              </w:rPr>
              <w:t>.2759</w:t>
            </w:r>
          </w:p>
        </w:tc>
        <w:tc>
          <w:tcPr>
            <w:tcW w:w="1440" w:type="dxa"/>
          </w:tcPr>
          <w:p w:rsidR="001C0D62" w:rsidRDefault="001C0D62">
            <w:pPr>
              <w:autoSpaceDE w:val="0"/>
              <w:autoSpaceDN w:val="0"/>
              <w:adjustRightInd w:val="0"/>
              <w:rPr>
                <w:rFonts w:ascii="Arial" w:hAnsi="Arial" w:cs="Arial"/>
              </w:rPr>
            </w:pPr>
            <w:r>
              <w:rPr>
                <w:rFonts w:ascii="Arial" w:hAnsi="Arial" w:cs="Arial"/>
              </w:rPr>
              <w:t>.3249</w:t>
            </w:r>
          </w:p>
        </w:tc>
        <w:tc>
          <w:tcPr>
            <w:tcW w:w="1260" w:type="dxa"/>
          </w:tcPr>
          <w:p w:rsidR="001C0D62" w:rsidRDefault="001C0D62">
            <w:pPr>
              <w:autoSpaceDE w:val="0"/>
              <w:autoSpaceDN w:val="0"/>
              <w:adjustRightInd w:val="0"/>
              <w:rPr>
                <w:rFonts w:ascii="Arial" w:hAnsi="Arial" w:cs="Arial"/>
              </w:rPr>
            </w:pPr>
            <w:r>
              <w:rPr>
                <w:rFonts w:ascii="Arial" w:hAnsi="Arial" w:cs="Arial"/>
              </w:rPr>
              <w:t>.3575</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50</w:t>
            </w:r>
          </w:p>
        </w:tc>
        <w:tc>
          <w:tcPr>
            <w:tcW w:w="1800" w:type="dxa"/>
          </w:tcPr>
          <w:p w:rsidR="001C0D62" w:rsidRDefault="001C0D62">
            <w:pPr>
              <w:autoSpaceDE w:val="0"/>
              <w:autoSpaceDN w:val="0"/>
              <w:adjustRightInd w:val="0"/>
              <w:rPr>
                <w:rFonts w:ascii="Arial" w:hAnsi="Arial" w:cs="Arial"/>
              </w:rPr>
            </w:pPr>
            <w:r>
              <w:rPr>
                <w:rFonts w:ascii="Arial" w:hAnsi="Arial" w:cs="Arial"/>
              </w:rPr>
              <w:t>.0956</w:t>
            </w:r>
          </w:p>
        </w:tc>
        <w:tc>
          <w:tcPr>
            <w:tcW w:w="1260" w:type="dxa"/>
          </w:tcPr>
          <w:p w:rsidR="001C0D62" w:rsidRDefault="001C0D62">
            <w:pPr>
              <w:autoSpaceDE w:val="0"/>
              <w:autoSpaceDN w:val="0"/>
              <w:adjustRightInd w:val="0"/>
              <w:rPr>
                <w:rFonts w:ascii="Arial" w:hAnsi="Arial" w:cs="Arial"/>
              </w:rPr>
            </w:pPr>
            <w:r>
              <w:rPr>
                <w:rFonts w:ascii="Arial" w:hAnsi="Arial" w:cs="Arial"/>
              </w:rPr>
              <w:t>.1806</w:t>
            </w:r>
          </w:p>
        </w:tc>
        <w:tc>
          <w:tcPr>
            <w:tcW w:w="1260" w:type="dxa"/>
          </w:tcPr>
          <w:p w:rsidR="001C0D62" w:rsidRDefault="001C0D62">
            <w:pPr>
              <w:autoSpaceDE w:val="0"/>
              <w:autoSpaceDN w:val="0"/>
              <w:adjustRightInd w:val="0"/>
              <w:rPr>
                <w:rFonts w:ascii="Arial" w:hAnsi="Arial" w:cs="Arial"/>
              </w:rPr>
            </w:pPr>
            <w:r>
              <w:rPr>
                <w:rFonts w:ascii="Arial" w:hAnsi="Arial" w:cs="Arial"/>
              </w:rPr>
              <w:t>.2306</w:t>
            </w:r>
          </w:p>
        </w:tc>
        <w:tc>
          <w:tcPr>
            <w:tcW w:w="1080" w:type="dxa"/>
          </w:tcPr>
          <w:p w:rsidR="001C0D62" w:rsidRDefault="001C0D62">
            <w:pPr>
              <w:autoSpaceDE w:val="0"/>
              <w:autoSpaceDN w:val="0"/>
              <w:adjustRightInd w:val="0"/>
              <w:rPr>
                <w:rFonts w:ascii="Arial" w:hAnsi="Arial" w:cs="Arial"/>
              </w:rPr>
            </w:pPr>
            <w:r>
              <w:rPr>
                <w:rFonts w:ascii="Arial" w:hAnsi="Arial" w:cs="Arial"/>
              </w:rPr>
              <w:t>.2732</w:t>
            </w:r>
          </w:p>
        </w:tc>
        <w:tc>
          <w:tcPr>
            <w:tcW w:w="1440" w:type="dxa"/>
          </w:tcPr>
          <w:p w:rsidR="001C0D62" w:rsidRDefault="001C0D62">
            <w:pPr>
              <w:autoSpaceDE w:val="0"/>
              <w:autoSpaceDN w:val="0"/>
              <w:adjustRightInd w:val="0"/>
              <w:rPr>
                <w:rFonts w:ascii="Arial" w:hAnsi="Arial" w:cs="Arial"/>
              </w:rPr>
            </w:pPr>
            <w:r>
              <w:rPr>
                <w:rFonts w:ascii="Arial" w:hAnsi="Arial" w:cs="Arial"/>
              </w:rPr>
              <w:t>.3218</w:t>
            </w:r>
          </w:p>
        </w:tc>
        <w:tc>
          <w:tcPr>
            <w:tcW w:w="1260" w:type="dxa"/>
          </w:tcPr>
          <w:p w:rsidR="001C0D62" w:rsidRDefault="001C0D62">
            <w:pPr>
              <w:autoSpaceDE w:val="0"/>
              <w:autoSpaceDN w:val="0"/>
              <w:adjustRightInd w:val="0"/>
              <w:rPr>
                <w:rFonts w:ascii="Arial" w:hAnsi="Arial" w:cs="Arial"/>
              </w:rPr>
            </w:pPr>
            <w:r>
              <w:rPr>
                <w:rFonts w:ascii="Arial" w:hAnsi="Arial" w:cs="Arial"/>
              </w:rPr>
              <w:t>.3542</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51</w:t>
            </w:r>
          </w:p>
        </w:tc>
        <w:tc>
          <w:tcPr>
            <w:tcW w:w="1800" w:type="dxa"/>
          </w:tcPr>
          <w:p w:rsidR="001C0D62" w:rsidRDefault="001C0D62">
            <w:pPr>
              <w:autoSpaceDE w:val="0"/>
              <w:autoSpaceDN w:val="0"/>
              <w:adjustRightInd w:val="0"/>
              <w:rPr>
                <w:rFonts w:ascii="Arial" w:hAnsi="Arial" w:cs="Arial"/>
              </w:rPr>
            </w:pPr>
            <w:r>
              <w:rPr>
                <w:rFonts w:ascii="Arial" w:hAnsi="Arial" w:cs="Arial"/>
              </w:rPr>
              <w:t>.0947</w:t>
            </w:r>
          </w:p>
        </w:tc>
        <w:tc>
          <w:tcPr>
            <w:tcW w:w="1260" w:type="dxa"/>
          </w:tcPr>
          <w:p w:rsidR="001C0D62" w:rsidRDefault="001C0D62">
            <w:pPr>
              <w:autoSpaceDE w:val="0"/>
              <w:autoSpaceDN w:val="0"/>
              <w:adjustRightInd w:val="0"/>
              <w:rPr>
                <w:rFonts w:ascii="Arial" w:hAnsi="Arial" w:cs="Arial"/>
              </w:rPr>
            </w:pPr>
            <w:r>
              <w:rPr>
                <w:rFonts w:ascii="Arial" w:hAnsi="Arial" w:cs="Arial"/>
              </w:rPr>
              <w:t>.1789</w:t>
            </w:r>
          </w:p>
        </w:tc>
        <w:tc>
          <w:tcPr>
            <w:tcW w:w="1260" w:type="dxa"/>
          </w:tcPr>
          <w:p w:rsidR="001C0D62" w:rsidRDefault="001C0D62">
            <w:pPr>
              <w:autoSpaceDE w:val="0"/>
              <w:autoSpaceDN w:val="0"/>
              <w:adjustRightInd w:val="0"/>
              <w:rPr>
                <w:rFonts w:ascii="Arial" w:hAnsi="Arial" w:cs="Arial"/>
              </w:rPr>
            </w:pPr>
            <w:r>
              <w:rPr>
                <w:rFonts w:ascii="Arial" w:hAnsi="Arial" w:cs="Arial"/>
              </w:rPr>
              <w:t>.2284</w:t>
            </w:r>
          </w:p>
        </w:tc>
        <w:tc>
          <w:tcPr>
            <w:tcW w:w="1080" w:type="dxa"/>
          </w:tcPr>
          <w:p w:rsidR="001C0D62" w:rsidRDefault="001C0D62">
            <w:pPr>
              <w:autoSpaceDE w:val="0"/>
              <w:autoSpaceDN w:val="0"/>
              <w:adjustRightInd w:val="0"/>
              <w:rPr>
                <w:rFonts w:ascii="Arial" w:hAnsi="Arial" w:cs="Arial"/>
              </w:rPr>
            </w:pPr>
            <w:r>
              <w:rPr>
                <w:rFonts w:ascii="Arial" w:hAnsi="Arial" w:cs="Arial"/>
              </w:rPr>
              <w:t>.2706</w:t>
            </w:r>
          </w:p>
        </w:tc>
        <w:tc>
          <w:tcPr>
            <w:tcW w:w="1440" w:type="dxa"/>
          </w:tcPr>
          <w:p w:rsidR="001C0D62" w:rsidRDefault="001C0D62">
            <w:pPr>
              <w:autoSpaceDE w:val="0"/>
              <w:autoSpaceDN w:val="0"/>
              <w:adjustRightInd w:val="0"/>
              <w:rPr>
                <w:rFonts w:ascii="Arial" w:hAnsi="Arial" w:cs="Arial"/>
              </w:rPr>
            </w:pPr>
            <w:r>
              <w:rPr>
                <w:rFonts w:ascii="Arial" w:hAnsi="Arial" w:cs="Arial"/>
              </w:rPr>
              <w:t>.3188</w:t>
            </w:r>
          </w:p>
        </w:tc>
        <w:tc>
          <w:tcPr>
            <w:tcW w:w="1260" w:type="dxa"/>
          </w:tcPr>
          <w:p w:rsidR="001C0D62" w:rsidRDefault="001C0D62">
            <w:pPr>
              <w:autoSpaceDE w:val="0"/>
              <w:autoSpaceDN w:val="0"/>
              <w:adjustRightInd w:val="0"/>
              <w:rPr>
                <w:rFonts w:ascii="Arial" w:hAnsi="Arial" w:cs="Arial"/>
              </w:rPr>
            </w:pPr>
            <w:r>
              <w:rPr>
                <w:rFonts w:ascii="Arial" w:hAnsi="Arial" w:cs="Arial"/>
              </w:rPr>
              <w:t>.3509</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52</w:t>
            </w:r>
          </w:p>
        </w:tc>
        <w:tc>
          <w:tcPr>
            <w:tcW w:w="1800" w:type="dxa"/>
          </w:tcPr>
          <w:p w:rsidR="001C0D62" w:rsidRDefault="001C0D62">
            <w:pPr>
              <w:autoSpaceDE w:val="0"/>
              <w:autoSpaceDN w:val="0"/>
              <w:adjustRightInd w:val="0"/>
              <w:rPr>
                <w:rFonts w:ascii="Arial" w:hAnsi="Arial" w:cs="Arial"/>
              </w:rPr>
            </w:pPr>
            <w:r>
              <w:rPr>
                <w:rFonts w:ascii="Arial" w:hAnsi="Arial" w:cs="Arial"/>
              </w:rPr>
              <w:t>.0938</w:t>
            </w:r>
          </w:p>
        </w:tc>
        <w:tc>
          <w:tcPr>
            <w:tcW w:w="1260" w:type="dxa"/>
          </w:tcPr>
          <w:p w:rsidR="001C0D62" w:rsidRDefault="001C0D62">
            <w:pPr>
              <w:autoSpaceDE w:val="0"/>
              <w:autoSpaceDN w:val="0"/>
              <w:adjustRightInd w:val="0"/>
              <w:rPr>
                <w:rFonts w:ascii="Arial" w:hAnsi="Arial" w:cs="Arial"/>
              </w:rPr>
            </w:pPr>
            <w:r>
              <w:rPr>
                <w:rFonts w:ascii="Arial" w:hAnsi="Arial" w:cs="Arial"/>
              </w:rPr>
              <w:t>.1772</w:t>
            </w:r>
          </w:p>
        </w:tc>
        <w:tc>
          <w:tcPr>
            <w:tcW w:w="1260" w:type="dxa"/>
          </w:tcPr>
          <w:p w:rsidR="001C0D62" w:rsidRDefault="001C0D62">
            <w:pPr>
              <w:autoSpaceDE w:val="0"/>
              <w:autoSpaceDN w:val="0"/>
              <w:adjustRightInd w:val="0"/>
              <w:rPr>
                <w:rFonts w:ascii="Arial" w:hAnsi="Arial" w:cs="Arial"/>
              </w:rPr>
            </w:pPr>
            <w:r>
              <w:rPr>
                <w:rFonts w:ascii="Arial" w:hAnsi="Arial" w:cs="Arial"/>
              </w:rPr>
              <w:t>.2262</w:t>
            </w:r>
          </w:p>
        </w:tc>
        <w:tc>
          <w:tcPr>
            <w:tcW w:w="1080" w:type="dxa"/>
          </w:tcPr>
          <w:p w:rsidR="001C0D62" w:rsidRDefault="001C0D62">
            <w:pPr>
              <w:autoSpaceDE w:val="0"/>
              <w:autoSpaceDN w:val="0"/>
              <w:adjustRightInd w:val="0"/>
              <w:rPr>
                <w:rFonts w:ascii="Arial" w:hAnsi="Arial" w:cs="Arial"/>
              </w:rPr>
            </w:pPr>
            <w:r>
              <w:rPr>
                <w:rFonts w:ascii="Arial" w:hAnsi="Arial" w:cs="Arial"/>
              </w:rPr>
              <w:t>.2681</w:t>
            </w:r>
          </w:p>
        </w:tc>
        <w:tc>
          <w:tcPr>
            <w:tcW w:w="1440" w:type="dxa"/>
          </w:tcPr>
          <w:p w:rsidR="001C0D62" w:rsidRDefault="001C0D62">
            <w:pPr>
              <w:autoSpaceDE w:val="0"/>
              <w:autoSpaceDN w:val="0"/>
              <w:adjustRightInd w:val="0"/>
              <w:rPr>
                <w:rFonts w:ascii="Arial" w:hAnsi="Arial" w:cs="Arial"/>
              </w:rPr>
            </w:pPr>
            <w:r>
              <w:rPr>
                <w:rFonts w:ascii="Arial" w:hAnsi="Arial" w:cs="Arial"/>
              </w:rPr>
              <w:t>.3158</w:t>
            </w:r>
          </w:p>
        </w:tc>
        <w:tc>
          <w:tcPr>
            <w:tcW w:w="1260" w:type="dxa"/>
          </w:tcPr>
          <w:p w:rsidR="001C0D62" w:rsidRDefault="001C0D62">
            <w:pPr>
              <w:autoSpaceDE w:val="0"/>
              <w:autoSpaceDN w:val="0"/>
              <w:adjustRightInd w:val="0"/>
              <w:rPr>
                <w:rFonts w:ascii="Arial" w:hAnsi="Arial" w:cs="Arial"/>
              </w:rPr>
            </w:pPr>
            <w:r>
              <w:rPr>
                <w:rFonts w:ascii="Arial" w:hAnsi="Arial" w:cs="Arial"/>
              </w:rPr>
              <w:t>.3477</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53</w:t>
            </w:r>
          </w:p>
        </w:tc>
        <w:tc>
          <w:tcPr>
            <w:tcW w:w="1800" w:type="dxa"/>
          </w:tcPr>
          <w:p w:rsidR="001C0D62" w:rsidRDefault="001C0D62">
            <w:pPr>
              <w:autoSpaceDE w:val="0"/>
              <w:autoSpaceDN w:val="0"/>
              <w:adjustRightInd w:val="0"/>
              <w:rPr>
                <w:rFonts w:ascii="Arial" w:hAnsi="Arial" w:cs="Arial"/>
              </w:rPr>
            </w:pPr>
            <w:r>
              <w:rPr>
                <w:rFonts w:ascii="Arial" w:hAnsi="Arial" w:cs="Arial"/>
              </w:rPr>
              <w:t>.0929</w:t>
            </w:r>
          </w:p>
        </w:tc>
        <w:tc>
          <w:tcPr>
            <w:tcW w:w="1260" w:type="dxa"/>
          </w:tcPr>
          <w:p w:rsidR="001C0D62" w:rsidRDefault="001C0D62">
            <w:pPr>
              <w:autoSpaceDE w:val="0"/>
              <w:autoSpaceDN w:val="0"/>
              <w:adjustRightInd w:val="0"/>
              <w:rPr>
                <w:rFonts w:ascii="Arial" w:hAnsi="Arial" w:cs="Arial"/>
              </w:rPr>
            </w:pPr>
            <w:r>
              <w:rPr>
                <w:rFonts w:ascii="Arial" w:hAnsi="Arial" w:cs="Arial"/>
              </w:rPr>
              <w:t>.1755</w:t>
            </w:r>
          </w:p>
        </w:tc>
        <w:tc>
          <w:tcPr>
            <w:tcW w:w="1260" w:type="dxa"/>
          </w:tcPr>
          <w:p w:rsidR="001C0D62" w:rsidRDefault="001C0D62">
            <w:pPr>
              <w:autoSpaceDE w:val="0"/>
              <w:autoSpaceDN w:val="0"/>
              <w:adjustRightInd w:val="0"/>
              <w:rPr>
                <w:rFonts w:ascii="Arial" w:hAnsi="Arial" w:cs="Arial"/>
              </w:rPr>
            </w:pPr>
            <w:r>
              <w:rPr>
                <w:rFonts w:ascii="Arial" w:hAnsi="Arial" w:cs="Arial"/>
              </w:rPr>
              <w:t>.2241</w:t>
            </w:r>
          </w:p>
        </w:tc>
        <w:tc>
          <w:tcPr>
            <w:tcW w:w="1080" w:type="dxa"/>
          </w:tcPr>
          <w:p w:rsidR="001C0D62" w:rsidRDefault="001C0D62">
            <w:pPr>
              <w:autoSpaceDE w:val="0"/>
              <w:autoSpaceDN w:val="0"/>
              <w:adjustRightInd w:val="0"/>
              <w:rPr>
                <w:rFonts w:ascii="Arial" w:hAnsi="Arial" w:cs="Arial"/>
              </w:rPr>
            </w:pPr>
            <w:r>
              <w:rPr>
                <w:rFonts w:ascii="Arial" w:hAnsi="Arial" w:cs="Arial"/>
              </w:rPr>
              <w:t>.2656</w:t>
            </w:r>
          </w:p>
        </w:tc>
        <w:tc>
          <w:tcPr>
            <w:tcW w:w="1440" w:type="dxa"/>
          </w:tcPr>
          <w:p w:rsidR="001C0D62" w:rsidRDefault="001C0D62">
            <w:pPr>
              <w:autoSpaceDE w:val="0"/>
              <w:autoSpaceDN w:val="0"/>
              <w:adjustRightInd w:val="0"/>
              <w:rPr>
                <w:rFonts w:ascii="Arial" w:hAnsi="Arial" w:cs="Arial"/>
              </w:rPr>
            </w:pPr>
            <w:r>
              <w:rPr>
                <w:rFonts w:ascii="Arial" w:hAnsi="Arial" w:cs="Arial"/>
              </w:rPr>
              <w:t>.3129</w:t>
            </w:r>
          </w:p>
        </w:tc>
        <w:tc>
          <w:tcPr>
            <w:tcW w:w="1260" w:type="dxa"/>
          </w:tcPr>
          <w:p w:rsidR="001C0D62" w:rsidRDefault="001C0D62">
            <w:pPr>
              <w:autoSpaceDE w:val="0"/>
              <w:autoSpaceDN w:val="0"/>
              <w:adjustRightInd w:val="0"/>
              <w:rPr>
                <w:rFonts w:ascii="Arial" w:hAnsi="Arial" w:cs="Arial"/>
              </w:rPr>
            </w:pPr>
            <w:r>
              <w:rPr>
                <w:rFonts w:ascii="Arial" w:hAnsi="Arial" w:cs="Arial"/>
              </w:rPr>
              <w:t>.3445</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54</w:t>
            </w:r>
          </w:p>
        </w:tc>
        <w:tc>
          <w:tcPr>
            <w:tcW w:w="1800" w:type="dxa"/>
          </w:tcPr>
          <w:p w:rsidR="001C0D62" w:rsidRDefault="001C0D62">
            <w:pPr>
              <w:autoSpaceDE w:val="0"/>
              <w:autoSpaceDN w:val="0"/>
              <w:adjustRightInd w:val="0"/>
              <w:rPr>
                <w:rFonts w:ascii="Arial" w:hAnsi="Arial" w:cs="Arial"/>
              </w:rPr>
            </w:pPr>
            <w:r>
              <w:rPr>
                <w:rFonts w:ascii="Arial" w:hAnsi="Arial" w:cs="Arial"/>
              </w:rPr>
              <w:t>.0920</w:t>
            </w:r>
          </w:p>
        </w:tc>
        <w:tc>
          <w:tcPr>
            <w:tcW w:w="1260" w:type="dxa"/>
          </w:tcPr>
          <w:p w:rsidR="001C0D62" w:rsidRDefault="001C0D62">
            <w:pPr>
              <w:autoSpaceDE w:val="0"/>
              <w:autoSpaceDN w:val="0"/>
              <w:adjustRightInd w:val="0"/>
              <w:rPr>
                <w:rFonts w:ascii="Arial" w:hAnsi="Arial" w:cs="Arial"/>
              </w:rPr>
            </w:pPr>
            <w:r>
              <w:rPr>
                <w:rFonts w:ascii="Arial" w:hAnsi="Arial" w:cs="Arial"/>
              </w:rPr>
              <w:t>.1739</w:t>
            </w:r>
          </w:p>
        </w:tc>
        <w:tc>
          <w:tcPr>
            <w:tcW w:w="1260" w:type="dxa"/>
          </w:tcPr>
          <w:p w:rsidR="001C0D62" w:rsidRDefault="001C0D62">
            <w:pPr>
              <w:autoSpaceDE w:val="0"/>
              <w:autoSpaceDN w:val="0"/>
              <w:adjustRightInd w:val="0"/>
              <w:rPr>
                <w:rFonts w:ascii="Arial" w:hAnsi="Arial" w:cs="Arial"/>
              </w:rPr>
            </w:pPr>
            <w:r>
              <w:rPr>
                <w:rFonts w:ascii="Arial" w:hAnsi="Arial" w:cs="Arial"/>
              </w:rPr>
              <w:t>.2221</w:t>
            </w:r>
          </w:p>
        </w:tc>
        <w:tc>
          <w:tcPr>
            <w:tcW w:w="1080" w:type="dxa"/>
          </w:tcPr>
          <w:p w:rsidR="001C0D62" w:rsidRDefault="001C0D62">
            <w:pPr>
              <w:autoSpaceDE w:val="0"/>
              <w:autoSpaceDN w:val="0"/>
              <w:adjustRightInd w:val="0"/>
              <w:rPr>
                <w:rFonts w:ascii="Arial" w:hAnsi="Arial" w:cs="Arial"/>
              </w:rPr>
            </w:pPr>
            <w:r>
              <w:rPr>
                <w:rFonts w:ascii="Arial" w:hAnsi="Arial" w:cs="Arial"/>
              </w:rPr>
              <w:t>.2632</w:t>
            </w:r>
          </w:p>
        </w:tc>
        <w:tc>
          <w:tcPr>
            <w:tcW w:w="1440" w:type="dxa"/>
          </w:tcPr>
          <w:p w:rsidR="001C0D62" w:rsidRDefault="001C0D62">
            <w:pPr>
              <w:autoSpaceDE w:val="0"/>
              <w:autoSpaceDN w:val="0"/>
              <w:adjustRightInd w:val="0"/>
              <w:rPr>
                <w:rFonts w:ascii="Arial" w:hAnsi="Arial" w:cs="Arial"/>
              </w:rPr>
            </w:pPr>
            <w:r>
              <w:rPr>
                <w:rFonts w:ascii="Arial" w:hAnsi="Arial" w:cs="Arial"/>
              </w:rPr>
              <w:t>.3102</w:t>
            </w:r>
          </w:p>
        </w:tc>
        <w:tc>
          <w:tcPr>
            <w:tcW w:w="1260" w:type="dxa"/>
          </w:tcPr>
          <w:p w:rsidR="001C0D62" w:rsidRDefault="001C0D62">
            <w:pPr>
              <w:autoSpaceDE w:val="0"/>
              <w:autoSpaceDN w:val="0"/>
              <w:adjustRightInd w:val="0"/>
              <w:rPr>
                <w:rFonts w:ascii="Arial" w:hAnsi="Arial" w:cs="Arial"/>
              </w:rPr>
            </w:pPr>
            <w:r>
              <w:rPr>
                <w:rFonts w:ascii="Arial" w:hAnsi="Arial" w:cs="Arial"/>
              </w:rPr>
              <w:t>.3415</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55</w:t>
            </w:r>
          </w:p>
        </w:tc>
        <w:tc>
          <w:tcPr>
            <w:tcW w:w="1800" w:type="dxa"/>
          </w:tcPr>
          <w:p w:rsidR="001C0D62" w:rsidRDefault="001C0D62">
            <w:pPr>
              <w:autoSpaceDE w:val="0"/>
              <w:autoSpaceDN w:val="0"/>
              <w:adjustRightInd w:val="0"/>
              <w:rPr>
                <w:rFonts w:ascii="Arial" w:hAnsi="Arial" w:cs="Arial"/>
              </w:rPr>
            </w:pPr>
            <w:r>
              <w:rPr>
                <w:rFonts w:ascii="Arial" w:hAnsi="Arial" w:cs="Arial"/>
              </w:rPr>
              <w:t>.0912</w:t>
            </w:r>
          </w:p>
        </w:tc>
        <w:tc>
          <w:tcPr>
            <w:tcW w:w="1260" w:type="dxa"/>
          </w:tcPr>
          <w:p w:rsidR="001C0D62" w:rsidRDefault="001C0D62">
            <w:pPr>
              <w:autoSpaceDE w:val="0"/>
              <w:autoSpaceDN w:val="0"/>
              <w:adjustRightInd w:val="0"/>
              <w:rPr>
                <w:rFonts w:ascii="Arial" w:hAnsi="Arial" w:cs="Arial"/>
              </w:rPr>
            </w:pPr>
            <w:r>
              <w:rPr>
                <w:rFonts w:ascii="Arial" w:hAnsi="Arial" w:cs="Arial"/>
              </w:rPr>
              <w:t>.1723</w:t>
            </w:r>
          </w:p>
        </w:tc>
        <w:tc>
          <w:tcPr>
            <w:tcW w:w="1260" w:type="dxa"/>
          </w:tcPr>
          <w:p w:rsidR="001C0D62" w:rsidRDefault="001C0D62">
            <w:pPr>
              <w:autoSpaceDE w:val="0"/>
              <w:autoSpaceDN w:val="0"/>
              <w:adjustRightInd w:val="0"/>
              <w:rPr>
                <w:rFonts w:ascii="Arial" w:hAnsi="Arial" w:cs="Arial"/>
              </w:rPr>
            </w:pPr>
            <w:r>
              <w:rPr>
                <w:rFonts w:ascii="Arial" w:hAnsi="Arial" w:cs="Arial"/>
              </w:rPr>
              <w:t>.2201</w:t>
            </w:r>
          </w:p>
        </w:tc>
        <w:tc>
          <w:tcPr>
            <w:tcW w:w="1080" w:type="dxa"/>
          </w:tcPr>
          <w:p w:rsidR="001C0D62" w:rsidRDefault="001C0D62">
            <w:pPr>
              <w:autoSpaceDE w:val="0"/>
              <w:autoSpaceDN w:val="0"/>
              <w:adjustRightInd w:val="0"/>
              <w:rPr>
                <w:rFonts w:ascii="Arial" w:hAnsi="Arial" w:cs="Arial"/>
              </w:rPr>
            </w:pPr>
            <w:r>
              <w:rPr>
                <w:rFonts w:ascii="Arial" w:hAnsi="Arial" w:cs="Arial"/>
              </w:rPr>
              <w:t>.2609</w:t>
            </w:r>
          </w:p>
        </w:tc>
        <w:tc>
          <w:tcPr>
            <w:tcW w:w="1440" w:type="dxa"/>
          </w:tcPr>
          <w:p w:rsidR="001C0D62" w:rsidRDefault="001C0D62">
            <w:pPr>
              <w:autoSpaceDE w:val="0"/>
              <w:autoSpaceDN w:val="0"/>
              <w:adjustRightInd w:val="0"/>
              <w:rPr>
                <w:rFonts w:ascii="Arial" w:hAnsi="Arial" w:cs="Arial"/>
              </w:rPr>
            </w:pPr>
            <w:r>
              <w:rPr>
                <w:rFonts w:ascii="Arial" w:hAnsi="Arial" w:cs="Arial"/>
              </w:rPr>
              <w:t>.3074</w:t>
            </w:r>
          </w:p>
        </w:tc>
        <w:tc>
          <w:tcPr>
            <w:tcW w:w="1260" w:type="dxa"/>
          </w:tcPr>
          <w:p w:rsidR="001C0D62" w:rsidRDefault="001C0D62">
            <w:pPr>
              <w:autoSpaceDE w:val="0"/>
              <w:autoSpaceDN w:val="0"/>
              <w:adjustRightInd w:val="0"/>
              <w:rPr>
                <w:rFonts w:ascii="Arial" w:hAnsi="Arial" w:cs="Arial"/>
              </w:rPr>
            </w:pPr>
            <w:r>
              <w:rPr>
                <w:rFonts w:ascii="Arial" w:hAnsi="Arial" w:cs="Arial"/>
              </w:rPr>
              <w:t>.3385</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56</w:t>
            </w:r>
          </w:p>
        </w:tc>
        <w:tc>
          <w:tcPr>
            <w:tcW w:w="1800" w:type="dxa"/>
          </w:tcPr>
          <w:p w:rsidR="001C0D62" w:rsidRDefault="001C0D62">
            <w:pPr>
              <w:autoSpaceDE w:val="0"/>
              <w:autoSpaceDN w:val="0"/>
              <w:adjustRightInd w:val="0"/>
              <w:rPr>
                <w:rFonts w:ascii="Arial" w:hAnsi="Arial" w:cs="Arial"/>
              </w:rPr>
            </w:pPr>
            <w:r>
              <w:rPr>
                <w:rFonts w:ascii="Arial" w:hAnsi="Arial" w:cs="Arial"/>
              </w:rPr>
              <w:t>.0904</w:t>
            </w:r>
          </w:p>
        </w:tc>
        <w:tc>
          <w:tcPr>
            <w:tcW w:w="1260" w:type="dxa"/>
          </w:tcPr>
          <w:p w:rsidR="001C0D62" w:rsidRDefault="001C0D62">
            <w:pPr>
              <w:autoSpaceDE w:val="0"/>
              <w:autoSpaceDN w:val="0"/>
              <w:adjustRightInd w:val="0"/>
              <w:rPr>
                <w:rFonts w:ascii="Arial" w:hAnsi="Arial" w:cs="Arial"/>
              </w:rPr>
            </w:pPr>
            <w:r>
              <w:rPr>
                <w:rFonts w:ascii="Arial" w:hAnsi="Arial" w:cs="Arial"/>
              </w:rPr>
              <w:t>.1708</w:t>
            </w:r>
          </w:p>
        </w:tc>
        <w:tc>
          <w:tcPr>
            <w:tcW w:w="1260" w:type="dxa"/>
          </w:tcPr>
          <w:p w:rsidR="001C0D62" w:rsidRDefault="001C0D62">
            <w:pPr>
              <w:autoSpaceDE w:val="0"/>
              <w:autoSpaceDN w:val="0"/>
              <w:adjustRightInd w:val="0"/>
              <w:rPr>
                <w:rFonts w:ascii="Arial" w:hAnsi="Arial" w:cs="Arial"/>
              </w:rPr>
            </w:pPr>
            <w:r>
              <w:rPr>
                <w:rFonts w:ascii="Arial" w:hAnsi="Arial" w:cs="Arial"/>
              </w:rPr>
              <w:t>.2181</w:t>
            </w:r>
          </w:p>
        </w:tc>
        <w:tc>
          <w:tcPr>
            <w:tcW w:w="1080" w:type="dxa"/>
          </w:tcPr>
          <w:p w:rsidR="001C0D62" w:rsidRDefault="001C0D62">
            <w:pPr>
              <w:autoSpaceDE w:val="0"/>
              <w:autoSpaceDN w:val="0"/>
              <w:adjustRightInd w:val="0"/>
              <w:rPr>
                <w:rFonts w:ascii="Arial" w:hAnsi="Arial" w:cs="Arial"/>
              </w:rPr>
            </w:pPr>
            <w:r>
              <w:rPr>
                <w:rFonts w:ascii="Arial" w:hAnsi="Arial" w:cs="Arial"/>
              </w:rPr>
              <w:t>.2586</w:t>
            </w:r>
          </w:p>
        </w:tc>
        <w:tc>
          <w:tcPr>
            <w:tcW w:w="1440" w:type="dxa"/>
          </w:tcPr>
          <w:p w:rsidR="001C0D62" w:rsidRDefault="001C0D62">
            <w:pPr>
              <w:autoSpaceDE w:val="0"/>
              <w:autoSpaceDN w:val="0"/>
              <w:adjustRightInd w:val="0"/>
              <w:rPr>
                <w:rFonts w:ascii="Arial" w:hAnsi="Arial" w:cs="Arial"/>
              </w:rPr>
            </w:pPr>
            <w:r>
              <w:rPr>
                <w:rFonts w:ascii="Arial" w:hAnsi="Arial" w:cs="Arial"/>
              </w:rPr>
              <w:t>.3048</w:t>
            </w:r>
          </w:p>
        </w:tc>
        <w:tc>
          <w:tcPr>
            <w:tcW w:w="1260" w:type="dxa"/>
          </w:tcPr>
          <w:p w:rsidR="001C0D62" w:rsidRDefault="001C0D62">
            <w:pPr>
              <w:autoSpaceDE w:val="0"/>
              <w:autoSpaceDN w:val="0"/>
              <w:adjustRightInd w:val="0"/>
              <w:rPr>
                <w:rFonts w:ascii="Arial" w:hAnsi="Arial" w:cs="Arial"/>
              </w:rPr>
            </w:pPr>
            <w:r>
              <w:rPr>
                <w:rFonts w:ascii="Arial" w:hAnsi="Arial" w:cs="Arial"/>
              </w:rPr>
              <w:t>.3357</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57</w:t>
            </w:r>
          </w:p>
        </w:tc>
        <w:tc>
          <w:tcPr>
            <w:tcW w:w="1800" w:type="dxa"/>
          </w:tcPr>
          <w:p w:rsidR="001C0D62" w:rsidRDefault="001C0D62">
            <w:pPr>
              <w:autoSpaceDE w:val="0"/>
              <w:autoSpaceDN w:val="0"/>
              <w:adjustRightInd w:val="0"/>
              <w:rPr>
                <w:rFonts w:ascii="Arial" w:hAnsi="Arial" w:cs="Arial"/>
              </w:rPr>
            </w:pPr>
            <w:r>
              <w:rPr>
                <w:rFonts w:ascii="Arial" w:hAnsi="Arial" w:cs="Arial"/>
              </w:rPr>
              <w:t>.0896</w:t>
            </w:r>
          </w:p>
        </w:tc>
        <w:tc>
          <w:tcPr>
            <w:tcW w:w="1260" w:type="dxa"/>
          </w:tcPr>
          <w:p w:rsidR="001C0D62" w:rsidRDefault="001C0D62">
            <w:pPr>
              <w:autoSpaceDE w:val="0"/>
              <w:autoSpaceDN w:val="0"/>
              <w:adjustRightInd w:val="0"/>
              <w:rPr>
                <w:rFonts w:ascii="Arial" w:hAnsi="Arial" w:cs="Arial"/>
              </w:rPr>
            </w:pPr>
            <w:r>
              <w:rPr>
                <w:rFonts w:ascii="Arial" w:hAnsi="Arial" w:cs="Arial"/>
              </w:rPr>
              <w:t>.1693</w:t>
            </w:r>
          </w:p>
        </w:tc>
        <w:tc>
          <w:tcPr>
            <w:tcW w:w="1260" w:type="dxa"/>
          </w:tcPr>
          <w:p w:rsidR="001C0D62" w:rsidRDefault="001C0D62">
            <w:pPr>
              <w:autoSpaceDE w:val="0"/>
              <w:autoSpaceDN w:val="0"/>
              <w:adjustRightInd w:val="0"/>
              <w:rPr>
                <w:rFonts w:ascii="Arial" w:hAnsi="Arial" w:cs="Arial"/>
              </w:rPr>
            </w:pPr>
            <w:r>
              <w:rPr>
                <w:rFonts w:ascii="Arial" w:hAnsi="Arial" w:cs="Arial"/>
              </w:rPr>
              <w:t>.2162</w:t>
            </w:r>
          </w:p>
        </w:tc>
        <w:tc>
          <w:tcPr>
            <w:tcW w:w="1080" w:type="dxa"/>
          </w:tcPr>
          <w:p w:rsidR="001C0D62" w:rsidRDefault="001C0D62">
            <w:pPr>
              <w:autoSpaceDE w:val="0"/>
              <w:autoSpaceDN w:val="0"/>
              <w:adjustRightInd w:val="0"/>
              <w:rPr>
                <w:rFonts w:ascii="Arial" w:hAnsi="Arial" w:cs="Arial"/>
              </w:rPr>
            </w:pPr>
            <w:r>
              <w:rPr>
                <w:rFonts w:ascii="Arial" w:hAnsi="Arial" w:cs="Arial"/>
              </w:rPr>
              <w:t>.2564</w:t>
            </w:r>
          </w:p>
        </w:tc>
        <w:tc>
          <w:tcPr>
            <w:tcW w:w="1440" w:type="dxa"/>
          </w:tcPr>
          <w:p w:rsidR="001C0D62" w:rsidRDefault="001C0D62">
            <w:pPr>
              <w:autoSpaceDE w:val="0"/>
              <w:autoSpaceDN w:val="0"/>
              <w:adjustRightInd w:val="0"/>
              <w:rPr>
                <w:rFonts w:ascii="Arial" w:hAnsi="Arial" w:cs="Arial"/>
              </w:rPr>
            </w:pPr>
            <w:r>
              <w:rPr>
                <w:rFonts w:ascii="Arial" w:hAnsi="Arial" w:cs="Arial"/>
              </w:rPr>
              <w:t>.3022</w:t>
            </w:r>
          </w:p>
        </w:tc>
        <w:tc>
          <w:tcPr>
            <w:tcW w:w="1260" w:type="dxa"/>
          </w:tcPr>
          <w:p w:rsidR="001C0D62" w:rsidRDefault="001C0D62">
            <w:pPr>
              <w:autoSpaceDE w:val="0"/>
              <w:autoSpaceDN w:val="0"/>
              <w:adjustRightInd w:val="0"/>
              <w:rPr>
                <w:rFonts w:ascii="Arial" w:hAnsi="Arial" w:cs="Arial"/>
              </w:rPr>
            </w:pPr>
            <w:r>
              <w:rPr>
                <w:rFonts w:ascii="Arial" w:hAnsi="Arial" w:cs="Arial"/>
              </w:rPr>
              <w:t>.3328</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58</w:t>
            </w:r>
          </w:p>
        </w:tc>
        <w:tc>
          <w:tcPr>
            <w:tcW w:w="1800" w:type="dxa"/>
          </w:tcPr>
          <w:p w:rsidR="001C0D62" w:rsidRDefault="001C0D62">
            <w:pPr>
              <w:autoSpaceDE w:val="0"/>
              <w:autoSpaceDN w:val="0"/>
              <w:adjustRightInd w:val="0"/>
              <w:rPr>
                <w:rFonts w:ascii="Arial" w:hAnsi="Arial" w:cs="Arial"/>
              </w:rPr>
            </w:pPr>
            <w:r>
              <w:rPr>
                <w:rFonts w:ascii="Arial" w:hAnsi="Arial" w:cs="Arial"/>
              </w:rPr>
              <w:t>.0888</w:t>
            </w:r>
          </w:p>
        </w:tc>
        <w:tc>
          <w:tcPr>
            <w:tcW w:w="1260" w:type="dxa"/>
          </w:tcPr>
          <w:p w:rsidR="001C0D62" w:rsidRDefault="001C0D62">
            <w:pPr>
              <w:autoSpaceDE w:val="0"/>
              <w:autoSpaceDN w:val="0"/>
              <w:adjustRightInd w:val="0"/>
              <w:rPr>
                <w:rFonts w:ascii="Arial" w:hAnsi="Arial" w:cs="Arial"/>
              </w:rPr>
            </w:pPr>
            <w:r>
              <w:rPr>
                <w:rFonts w:ascii="Arial" w:hAnsi="Arial" w:cs="Arial"/>
              </w:rPr>
              <w:t>.1678</w:t>
            </w:r>
          </w:p>
        </w:tc>
        <w:tc>
          <w:tcPr>
            <w:tcW w:w="1260" w:type="dxa"/>
          </w:tcPr>
          <w:p w:rsidR="001C0D62" w:rsidRDefault="001C0D62">
            <w:pPr>
              <w:autoSpaceDE w:val="0"/>
              <w:autoSpaceDN w:val="0"/>
              <w:adjustRightInd w:val="0"/>
              <w:rPr>
                <w:rFonts w:ascii="Arial" w:hAnsi="Arial" w:cs="Arial"/>
              </w:rPr>
            </w:pPr>
            <w:r>
              <w:rPr>
                <w:rFonts w:ascii="Arial" w:hAnsi="Arial" w:cs="Arial"/>
              </w:rPr>
              <w:t>.2144</w:t>
            </w:r>
          </w:p>
        </w:tc>
        <w:tc>
          <w:tcPr>
            <w:tcW w:w="1080" w:type="dxa"/>
          </w:tcPr>
          <w:p w:rsidR="001C0D62" w:rsidRDefault="001C0D62">
            <w:pPr>
              <w:autoSpaceDE w:val="0"/>
              <w:autoSpaceDN w:val="0"/>
              <w:adjustRightInd w:val="0"/>
              <w:rPr>
                <w:rFonts w:ascii="Arial" w:hAnsi="Arial" w:cs="Arial"/>
              </w:rPr>
            </w:pPr>
            <w:r>
              <w:rPr>
                <w:rFonts w:ascii="Arial" w:hAnsi="Arial" w:cs="Arial"/>
              </w:rPr>
              <w:t>.2542</w:t>
            </w:r>
          </w:p>
        </w:tc>
        <w:tc>
          <w:tcPr>
            <w:tcW w:w="1440" w:type="dxa"/>
          </w:tcPr>
          <w:p w:rsidR="001C0D62" w:rsidRDefault="001C0D62">
            <w:pPr>
              <w:autoSpaceDE w:val="0"/>
              <w:autoSpaceDN w:val="0"/>
              <w:adjustRightInd w:val="0"/>
              <w:rPr>
                <w:rFonts w:ascii="Arial" w:hAnsi="Arial" w:cs="Arial"/>
              </w:rPr>
            </w:pPr>
            <w:r>
              <w:rPr>
                <w:rFonts w:ascii="Arial" w:hAnsi="Arial" w:cs="Arial"/>
              </w:rPr>
              <w:t>.2997</w:t>
            </w:r>
          </w:p>
        </w:tc>
        <w:tc>
          <w:tcPr>
            <w:tcW w:w="1260" w:type="dxa"/>
          </w:tcPr>
          <w:p w:rsidR="001C0D62" w:rsidRDefault="001C0D62">
            <w:pPr>
              <w:autoSpaceDE w:val="0"/>
              <w:autoSpaceDN w:val="0"/>
              <w:adjustRightInd w:val="0"/>
              <w:rPr>
                <w:rFonts w:ascii="Arial" w:hAnsi="Arial" w:cs="Arial"/>
              </w:rPr>
            </w:pPr>
            <w:r>
              <w:rPr>
                <w:rFonts w:ascii="Arial" w:hAnsi="Arial" w:cs="Arial"/>
              </w:rPr>
              <w:t>.3301</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59</w:t>
            </w:r>
          </w:p>
        </w:tc>
        <w:tc>
          <w:tcPr>
            <w:tcW w:w="1800" w:type="dxa"/>
          </w:tcPr>
          <w:p w:rsidR="001C0D62" w:rsidRDefault="001C0D62">
            <w:pPr>
              <w:autoSpaceDE w:val="0"/>
              <w:autoSpaceDN w:val="0"/>
              <w:adjustRightInd w:val="0"/>
              <w:rPr>
                <w:rFonts w:ascii="Arial" w:hAnsi="Arial" w:cs="Arial"/>
              </w:rPr>
            </w:pPr>
            <w:r>
              <w:rPr>
                <w:rFonts w:ascii="Arial" w:hAnsi="Arial" w:cs="Arial"/>
              </w:rPr>
              <w:t>.0880</w:t>
            </w:r>
          </w:p>
        </w:tc>
        <w:tc>
          <w:tcPr>
            <w:tcW w:w="1260" w:type="dxa"/>
          </w:tcPr>
          <w:p w:rsidR="001C0D62" w:rsidRDefault="001C0D62">
            <w:pPr>
              <w:autoSpaceDE w:val="0"/>
              <w:autoSpaceDN w:val="0"/>
              <w:adjustRightInd w:val="0"/>
              <w:rPr>
                <w:rFonts w:ascii="Arial" w:hAnsi="Arial" w:cs="Arial"/>
              </w:rPr>
            </w:pPr>
            <w:r>
              <w:rPr>
                <w:rFonts w:ascii="Arial" w:hAnsi="Arial" w:cs="Arial"/>
              </w:rPr>
              <w:t>.1664</w:t>
            </w:r>
          </w:p>
        </w:tc>
        <w:tc>
          <w:tcPr>
            <w:tcW w:w="1260" w:type="dxa"/>
          </w:tcPr>
          <w:p w:rsidR="001C0D62" w:rsidRDefault="001C0D62">
            <w:pPr>
              <w:autoSpaceDE w:val="0"/>
              <w:autoSpaceDN w:val="0"/>
              <w:adjustRightInd w:val="0"/>
              <w:rPr>
                <w:rFonts w:ascii="Arial" w:hAnsi="Arial" w:cs="Arial"/>
              </w:rPr>
            </w:pPr>
            <w:r>
              <w:rPr>
                <w:rFonts w:ascii="Arial" w:hAnsi="Arial" w:cs="Arial"/>
              </w:rPr>
              <w:t>.2126</w:t>
            </w:r>
          </w:p>
        </w:tc>
        <w:tc>
          <w:tcPr>
            <w:tcW w:w="1080" w:type="dxa"/>
          </w:tcPr>
          <w:p w:rsidR="001C0D62" w:rsidRDefault="001C0D62">
            <w:pPr>
              <w:autoSpaceDE w:val="0"/>
              <w:autoSpaceDN w:val="0"/>
              <w:adjustRightInd w:val="0"/>
              <w:rPr>
                <w:rFonts w:ascii="Arial" w:hAnsi="Arial" w:cs="Arial"/>
              </w:rPr>
            </w:pPr>
            <w:r>
              <w:rPr>
                <w:rFonts w:ascii="Arial" w:hAnsi="Arial" w:cs="Arial"/>
              </w:rPr>
              <w:t>.2521</w:t>
            </w:r>
          </w:p>
        </w:tc>
        <w:tc>
          <w:tcPr>
            <w:tcW w:w="1440" w:type="dxa"/>
          </w:tcPr>
          <w:p w:rsidR="001C0D62" w:rsidRDefault="001C0D62">
            <w:pPr>
              <w:autoSpaceDE w:val="0"/>
              <w:autoSpaceDN w:val="0"/>
              <w:adjustRightInd w:val="0"/>
              <w:rPr>
                <w:rFonts w:ascii="Arial" w:hAnsi="Arial" w:cs="Arial"/>
              </w:rPr>
            </w:pPr>
            <w:r>
              <w:rPr>
                <w:rFonts w:ascii="Arial" w:hAnsi="Arial" w:cs="Arial"/>
              </w:rPr>
              <w:t>.2972</w:t>
            </w:r>
          </w:p>
        </w:tc>
        <w:tc>
          <w:tcPr>
            <w:tcW w:w="1260" w:type="dxa"/>
          </w:tcPr>
          <w:p w:rsidR="001C0D62" w:rsidRDefault="001C0D62">
            <w:pPr>
              <w:autoSpaceDE w:val="0"/>
              <w:autoSpaceDN w:val="0"/>
              <w:adjustRightInd w:val="0"/>
              <w:rPr>
                <w:rFonts w:ascii="Arial" w:hAnsi="Arial" w:cs="Arial"/>
              </w:rPr>
            </w:pPr>
            <w:r>
              <w:rPr>
                <w:rFonts w:ascii="Arial" w:hAnsi="Arial" w:cs="Arial"/>
              </w:rPr>
              <w:t>.3274</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60</w:t>
            </w:r>
          </w:p>
        </w:tc>
        <w:tc>
          <w:tcPr>
            <w:tcW w:w="1800" w:type="dxa"/>
          </w:tcPr>
          <w:p w:rsidR="001C0D62" w:rsidRDefault="001C0D62">
            <w:pPr>
              <w:autoSpaceDE w:val="0"/>
              <w:autoSpaceDN w:val="0"/>
              <w:adjustRightInd w:val="0"/>
              <w:rPr>
                <w:rFonts w:ascii="Arial" w:hAnsi="Arial" w:cs="Arial"/>
              </w:rPr>
            </w:pPr>
            <w:r>
              <w:rPr>
                <w:rFonts w:ascii="Arial" w:hAnsi="Arial" w:cs="Arial"/>
              </w:rPr>
              <w:t>.0873</w:t>
            </w:r>
          </w:p>
        </w:tc>
        <w:tc>
          <w:tcPr>
            <w:tcW w:w="1260" w:type="dxa"/>
          </w:tcPr>
          <w:p w:rsidR="001C0D62" w:rsidRDefault="001C0D62">
            <w:pPr>
              <w:autoSpaceDE w:val="0"/>
              <w:autoSpaceDN w:val="0"/>
              <w:adjustRightInd w:val="0"/>
              <w:rPr>
                <w:rFonts w:ascii="Arial" w:hAnsi="Arial" w:cs="Arial"/>
              </w:rPr>
            </w:pPr>
            <w:r>
              <w:rPr>
                <w:rFonts w:ascii="Arial" w:hAnsi="Arial" w:cs="Arial"/>
              </w:rPr>
              <w:t>.1650</w:t>
            </w:r>
          </w:p>
        </w:tc>
        <w:tc>
          <w:tcPr>
            <w:tcW w:w="1260" w:type="dxa"/>
          </w:tcPr>
          <w:p w:rsidR="001C0D62" w:rsidRDefault="001C0D62">
            <w:pPr>
              <w:autoSpaceDE w:val="0"/>
              <w:autoSpaceDN w:val="0"/>
              <w:adjustRightInd w:val="0"/>
              <w:rPr>
                <w:rFonts w:ascii="Arial" w:hAnsi="Arial" w:cs="Arial"/>
              </w:rPr>
            </w:pPr>
            <w:r>
              <w:rPr>
                <w:rFonts w:ascii="Arial" w:hAnsi="Arial" w:cs="Arial"/>
              </w:rPr>
              <w:t>.2108</w:t>
            </w:r>
          </w:p>
        </w:tc>
        <w:tc>
          <w:tcPr>
            <w:tcW w:w="1080" w:type="dxa"/>
          </w:tcPr>
          <w:p w:rsidR="001C0D62" w:rsidRDefault="001C0D62">
            <w:pPr>
              <w:autoSpaceDE w:val="0"/>
              <w:autoSpaceDN w:val="0"/>
              <w:adjustRightInd w:val="0"/>
              <w:rPr>
                <w:rFonts w:ascii="Arial" w:hAnsi="Arial" w:cs="Arial"/>
              </w:rPr>
            </w:pPr>
            <w:r>
              <w:rPr>
                <w:rFonts w:ascii="Arial" w:hAnsi="Arial" w:cs="Arial"/>
              </w:rPr>
              <w:t>.2500</w:t>
            </w:r>
          </w:p>
        </w:tc>
        <w:tc>
          <w:tcPr>
            <w:tcW w:w="1440" w:type="dxa"/>
          </w:tcPr>
          <w:p w:rsidR="001C0D62" w:rsidRDefault="001C0D62">
            <w:pPr>
              <w:autoSpaceDE w:val="0"/>
              <w:autoSpaceDN w:val="0"/>
              <w:adjustRightInd w:val="0"/>
              <w:rPr>
                <w:rFonts w:ascii="Arial" w:hAnsi="Arial" w:cs="Arial"/>
              </w:rPr>
            </w:pPr>
            <w:r>
              <w:rPr>
                <w:rFonts w:ascii="Arial" w:hAnsi="Arial" w:cs="Arial"/>
              </w:rPr>
              <w:t>.2948</w:t>
            </w:r>
          </w:p>
        </w:tc>
        <w:tc>
          <w:tcPr>
            <w:tcW w:w="1260" w:type="dxa"/>
          </w:tcPr>
          <w:p w:rsidR="001C0D62" w:rsidRDefault="001C0D62">
            <w:pPr>
              <w:autoSpaceDE w:val="0"/>
              <w:autoSpaceDN w:val="0"/>
              <w:adjustRightInd w:val="0"/>
              <w:rPr>
                <w:rFonts w:ascii="Arial" w:hAnsi="Arial" w:cs="Arial"/>
              </w:rPr>
            </w:pPr>
            <w:r>
              <w:rPr>
                <w:rFonts w:ascii="Arial" w:hAnsi="Arial" w:cs="Arial"/>
              </w:rPr>
              <w:t>.3248</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61</w:t>
            </w:r>
          </w:p>
        </w:tc>
        <w:tc>
          <w:tcPr>
            <w:tcW w:w="1800" w:type="dxa"/>
          </w:tcPr>
          <w:p w:rsidR="001C0D62" w:rsidRDefault="001C0D62">
            <w:pPr>
              <w:autoSpaceDE w:val="0"/>
              <w:autoSpaceDN w:val="0"/>
              <w:adjustRightInd w:val="0"/>
              <w:rPr>
                <w:rFonts w:ascii="Arial" w:hAnsi="Arial" w:cs="Arial"/>
              </w:rPr>
            </w:pPr>
            <w:r>
              <w:rPr>
                <w:rFonts w:ascii="Arial" w:hAnsi="Arial" w:cs="Arial"/>
              </w:rPr>
              <w:t>.0866</w:t>
            </w:r>
          </w:p>
        </w:tc>
        <w:tc>
          <w:tcPr>
            <w:tcW w:w="1260" w:type="dxa"/>
          </w:tcPr>
          <w:p w:rsidR="001C0D62" w:rsidRDefault="001C0D62">
            <w:pPr>
              <w:autoSpaceDE w:val="0"/>
              <w:autoSpaceDN w:val="0"/>
              <w:adjustRightInd w:val="0"/>
              <w:rPr>
                <w:rFonts w:ascii="Arial" w:hAnsi="Arial" w:cs="Arial"/>
              </w:rPr>
            </w:pPr>
            <w:r>
              <w:rPr>
                <w:rFonts w:ascii="Arial" w:hAnsi="Arial" w:cs="Arial"/>
              </w:rPr>
              <w:t>.1636</w:t>
            </w:r>
          </w:p>
        </w:tc>
        <w:tc>
          <w:tcPr>
            <w:tcW w:w="1260" w:type="dxa"/>
          </w:tcPr>
          <w:p w:rsidR="001C0D62" w:rsidRDefault="001C0D62">
            <w:pPr>
              <w:autoSpaceDE w:val="0"/>
              <w:autoSpaceDN w:val="0"/>
              <w:adjustRightInd w:val="0"/>
              <w:rPr>
                <w:rFonts w:ascii="Arial" w:hAnsi="Arial" w:cs="Arial"/>
              </w:rPr>
            </w:pPr>
            <w:r>
              <w:rPr>
                <w:rFonts w:ascii="Arial" w:hAnsi="Arial" w:cs="Arial"/>
              </w:rPr>
              <w:t>.2091</w:t>
            </w:r>
          </w:p>
        </w:tc>
        <w:tc>
          <w:tcPr>
            <w:tcW w:w="1080" w:type="dxa"/>
          </w:tcPr>
          <w:p w:rsidR="001C0D62" w:rsidRDefault="001C0D62">
            <w:pPr>
              <w:autoSpaceDE w:val="0"/>
              <w:autoSpaceDN w:val="0"/>
              <w:adjustRightInd w:val="0"/>
              <w:rPr>
                <w:rFonts w:ascii="Arial" w:hAnsi="Arial" w:cs="Arial"/>
              </w:rPr>
            </w:pPr>
            <w:r>
              <w:rPr>
                <w:rFonts w:ascii="Arial" w:hAnsi="Arial" w:cs="Arial"/>
              </w:rPr>
              <w:t>.2480</w:t>
            </w:r>
          </w:p>
        </w:tc>
        <w:tc>
          <w:tcPr>
            <w:tcW w:w="1440" w:type="dxa"/>
          </w:tcPr>
          <w:p w:rsidR="001C0D62" w:rsidRDefault="001C0D62">
            <w:pPr>
              <w:autoSpaceDE w:val="0"/>
              <w:autoSpaceDN w:val="0"/>
              <w:adjustRightInd w:val="0"/>
              <w:rPr>
                <w:rFonts w:ascii="Arial" w:hAnsi="Arial" w:cs="Arial"/>
              </w:rPr>
            </w:pPr>
            <w:r>
              <w:rPr>
                <w:rFonts w:ascii="Arial" w:hAnsi="Arial" w:cs="Arial"/>
              </w:rPr>
              <w:t>.2925</w:t>
            </w:r>
          </w:p>
        </w:tc>
        <w:tc>
          <w:tcPr>
            <w:tcW w:w="1260" w:type="dxa"/>
          </w:tcPr>
          <w:p w:rsidR="001C0D62" w:rsidRDefault="001C0D62">
            <w:pPr>
              <w:autoSpaceDE w:val="0"/>
              <w:autoSpaceDN w:val="0"/>
              <w:adjustRightInd w:val="0"/>
              <w:rPr>
                <w:rFonts w:ascii="Arial" w:hAnsi="Arial" w:cs="Arial"/>
              </w:rPr>
            </w:pPr>
            <w:r>
              <w:rPr>
                <w:rFonts w:ascii="Arial" w:hAnsi="Arial" w:cs="Arial"/>
              </w:rPr>
              <w:t>.3223</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62</w:t>
            </w:r>
          </w:p>
        </w:tc>
        <w:tc>
          <w:tcPr>
            <w:tcW w:w="1800" w:type="dxa"/>
          </w:tcPr>
          <w:p w:rsidR="001C0D62" w:rsidRDefault="001C0D62">
            <w:pPr>
              <w:autoSpaceDE w:val="0"/>
              <w:autoSpaceDN w:val="0"/>
              <w:adjustRightInd w:val="0"/>
              <w:rPr>
                <w:rFonts w:ascii="Arial" w:hAnsi="Arial" w:cs="Arial"/>
              </w:rPr>
            </w:pPr>
            <w:r>
              <w:rPr>
                <w:rFonts w:ascii="Arial" w:hAnsi="Arial" w:cs="Arial"/>
              </w:rPr>
              <w:t>.0858</w:t>
            </w:r>
          </w:p>
        </w:tc>
        <w:tc>
          <w:tcPr>
            <w:tcW w:w="1260" w:type="dxa"/>
          </w:tcPr>
          <w:p w:rsidR="001C0D62" w:rsidRDefault="001C0D62">
            <w:pPr>
              <w:autoSpaceDE w:val="0"/>
              <w:autoSpaceDN w:val="0"/>
              <w:adjustRightInd w:val="0"/>
              <w:rPr>
                <w:rFonts w:ascii="Arial" w:hAnsi="Arial" w:cs="Arial"/>
              </w:rPr>
            </w:pPr>
            <w:r>
              <w:rPr>
                <w:rFonts w:ascii="Arial" w:hAnsi="Arial" w:cs="Arial"/>
              </w:rPr>
              <w:t>.1623</w:t>
            </w:r>
          </w:p>
        </w:tc>
        <w:tc>
          <w:tcPr>
            <w:tcW w:w="1260" w:type="dxa"/>
          </w:tcPr>
          <w:p w:rsidR="001C0D62" w:rsidRDefault="001C0D62">
            <w:pPr>
              <w:autoSpaceDE w:val="0"/>
              <w:autoSpaceDN w:val="0"/>
              <w:adjustRightInd w:val="0"/>
              <w:rPr>
                <w:rFonts w:ascii="Arial" w:hAnsi="Arial" w:cs="Arial"/>
              </w:rPr>
            </w:pPr>
            <w:r>
              <w:rPr>
                <w:rFonts w:ascii="Arial" w:hAnsi="Arial" w:cs="Arial"/>
              </w:rPr>
              <w:t>.2075</w:t>
            </w:r>
          </w:p>
        </w:tc>
        <w:tc>
          <w:tcPr>
            <w:tcW w:w="1080" w:type="dxa"/>
          </w:tcPr>
          <w:p w:rsidR="001C0D62" w:rsidRDefault="001C0D62">
            <w:pPr>
              <w:autoSpaceDE w:val="0"/>
              <w:autoSpaceDN w:val="0"/>
              <w:adjustRightInd w:val="0"/>
              <w:rPr>
                <w:rFonts w:ascii="Arial" w:hAnsi="Arial" w:cs="Arial"/>
              </w:rPr>
            </w:pPr>
            <w:r>
              <w:rPr>
                <w:rFonts w:ascii="Arial" w:hAnsi="Arial" w:cs="Arial"/>
              </w:rPr>
              <w:t>.2461</w:t>
            </w:r>
          </w:p>
        </w:tc>
        <w:tc>
          <w:tcPr>
            <w:tcW w:w="1440" w:type="dxa"/>
          </w:tcPr>
          <w:p w:rsidR="001C0D62" w:rsidRDefault="001C0D62">
            <w:pPr>
              <w:autoSpaceDE w:val="0"/>
              <w:autoSpaceDN w:val="0"/>
              <w:adjustRightInd w:val="0"/>
              <w:rPr>
                <w:rFonts w:ascii="Arial" w:hAnsi="Arial" w:cs="Arial"/>
              </w:rPr>
            </w:pPr>
            <w:r>
              <w:rPr>
                <w:rFonts w:ascii="Arial" w:hAnsi="Arial" w:cs="Arial"/>
              </w:rPr>
              <w:t>.2902</w:t>
            </w:r>
          </w:p>
        </w:tc>
        <w:tc>
          <w:tcPr>
            <w:tcW w:w="1260" w:type="dxa"/>
          </w:tcPr>
          <w:p w:rsidR="001C0D62" w:rsidRDefault="001C0D62">
            <w:pPr>
              <w:autoSpaceDE w:val="0"/>
              <w:autoSpaceDN w:val="0"/>
              <w:adjustRightInd w:val="0"/>
              <w:rPr>
                <w:rFonts w:ascii="Arial" w:hAnsi="Arial" w:cs="Arial"/>
              </w:rPr>
            </w:pPr>
            <w:r>
              <w:rPr>
                <w:rFonts w:ascii="Arial" w:hAnsi="Arial" w:cs="Arial"/>
              </w:rPr>
              <w:t>.3198</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63</w:t>
            </w:r>
          </w:p>
        </w:tc>
        <w:tc>
          <w:tcPr>
            <w:tcW w:w="1800" w:type="dxa"/>
          </w:tcPr>
          <w:p w:rsidR="001C0D62" w:rsidRDefault="001C0D62">
            <w:pPr>
              <w:autoSpaceDE w:val="0"/>
              <w:autoSpaceDN w:val="0"/>
              <w:adjustRightInd w:val="0"/>
              <w:rPr>
                <w:rFonts w:ascii="Arial" w:hAnsi="Arial" w:cs="Arial"/>
              </w:rPr>
            </w:pPr>
            <w:r>
              <w:rPr>
                <w:rFonts w:ascii="Arial" w:hAnsi="Arial" w:cs="Arial"/>
              </w:rPr>
              <w:t>.0852</w:t>
            </w:r>
          </w:p>
        </w:tc>
        <w:tc>
          <w:tcPr>
            <w:tcW w:w="1260" w:type="dxa"/>
          </w:tcPr>
          <w:p w:rsidR="001C0D62" w:rsidRDefault="001C0D62">
            <w:pPr>
              <w:autoSpaceDE w:val="0"/>
              <w:autoSpaceDN w:val="0"/>
              <w:adjustRightInd w:val="0"/>
              <w:rPr>
                <w:rFonts w:ascii="Arial" w:hAnsi="Arial" w:cs="Arial"/>
              </w:rPr>
            </w:pPr>
            <w:r>
              <w:rPr>
                <w:rFonts w:ascii="Arial" w:hAnsi="Arial" w:cs="Arial"/>
              </w:rPr>
              <w:t>.1610</w:t>
            </w:r>
          </w:p>
        </w:tc>
        <w:tc>
          <w:tcPr>
            <w:tcW w:w="1260" w:type="dxa"/>
          </w:tcPr>
          <w:p w:rsidR="001C0D62" w:rsidRDefault="001C0D62">
            <w:pPr>
              <w:autoSpaceDE w:val="0"/>
              <w:autoSpaceDN w:val="0"/>
              <w:adjustRightInd w:val="0"/>
              <w:rPr>
                <w:rFonts w:ascii="Arial" w:hAnsi="Arial" w:cs="Arial"/>
              </w:rPr>
            </w:pPr>
            <w:r>
              <w:rPr>
                <w:rFonts w:ascii="Arial" w:hAnsi="Arial" w:cs="Arial"/>
              </w:rPr>
              <w:t>.2058</w:t>
            </w:r>
          </w:p>
        </w:tc>
        <w:tc>
          <w:tcPr>
            <w:tcW w:w="1080" w:type="dxa"/>
          </w:tcPr>
          <w:p w:rsidR="001C0D62" w:rsidRDefault="001C0D62">
            <w:pPr>
              <w:autoSpaceDE w:val="0"/>
              <w:autoSpaceDN w:val="0"/>
              <w:adjustRightInd w:val="0"/>
              <w:rPr>
                <w:rFonts w:ascii="Arial" w:hAnsi="Arial" w:cs="Arial"/>
              </w:rPr>
            </w:pPr>
            <w:r>
              <w:rPr>
                <w:rFonts w:ascii="Arial" w:hAnsi="Arial" w:cs="Arial"/>
              </w:rPr>
              <w:t>.2441</w:t>
            </w:r>
          </w:p>
        </w:tc>
        <w:tc>
          <w:tcPr>
            <w:tcW w:w="1440" w:type="dxa"/>
          </w:tcPr>
          <w:p w:rsidR="001C0D62" w:rsidRDefault="001C0D62">
            <w:pPr>
              <w:autoSpaceDE w:val="0"/>
              <w:autoSpaceDN w:val="0"/>
              <w:adjustRightInd w:val="0"/>
              <w:rPr>
                <w:rFonts w:ascii="Arial" w:hAnsi="Arial" w:cs="Arial"/>
              </w:rPr>
            </w:pPr>
            <w:r>
              <w:rPr>
                <w:rFonts w:ascii="Arial" w:hAnsi="Arial" w:cs="Arial"/>
              </w:rPr>
              <w:t>.2880</w:t>
            </w:r>
          </w:p>
        </w:tc>
        <w:tc>
          <w:tcPr>
            <w:tcW w:w="1260" w:type="dxa"/>
          </w:tcPr>
          <w:p w:rsidR="001C0D62" w:rsidRDefault="001C0D62">
            <w:pPr>
              <w:autoSpaceDE w:val="0"/>
              <w:autoSpaceDN w:val="0"/>
              <w:adjustRightInd w:val="0"/>
              <w:rPr>
                <w:rFonts w:ascii="Arial" w:hAnsi="Arial" w:cs="Arial"/>
              </w:rPr>
            </w:pPr>
            <w:r>
              <w:rPr>
                <w:rFonts w:ascii="Arial" w:hAnsi="Arial" w:cs="Arial"/>
              </w:rPr>
              <w:t>.3173</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64</w:t>
            </w:r>
          </w:p>
        </w:tc>
        <w:tc>
          <w:tcPr>
            <w:tcW w:w="1800" w:type="dxa"/>
          </w:tcPr>
          <w:p w:rsidR="001C0D62" w:rsidRDefault="001C0D62">
            <w:pPr>
              <w:autoSpaceDE w:val="0"/>
              <w:autoSpaceDN w:val="0"/>
              <w:adjustRightInd w:val="0"/>
              <w:rPr>
                <w:rFonts w:ascii="Arial" w:hAnsi="Arial" w:cs="Arial"/>
              </w:rPr>
            </w:pPr>
            <w:r>
              <w:rPr>
                <w:rFonts w:ascii="Arial" w:hAnsi="Arial" w:cs="Arial"/>
              </w:rPr>
              <w:t>.0845</w:t>
            </w:r>
          </w:p>
        </w:tc>
        <w:tc>
          <w:tcPr>
            <w:tcW w:w="1260" w:type="dxa"/>
          </w:tcPr>
          <w:p w:rsidR="001C0D62" w:rsidRDefault="001C0D62">
            <w:pPr>
              <w:autoSpaceDE w:val="0"/>
              <w:autoSpaceDN w:val="0"/>
              <w:adjustRightInd w:val="0"/>
              <w:rPr>
                <w:rFonts w:ascii="Arial" w:hAnsi="Arial" w:cs="Arial"/>
              </w:rPr>
            </w:pPr>
            <w:r>
              <w:rPr>
                <w:rFonts w:ascii="Arial" w:hAnsi="Arial" w:cs="Arial"/>
              </w:rPr>
              <w:t>.1598</w:t>
            </w:r>
          </w:p>
        </w:tc>
        <w:tc>
          <w:tcPr>
            <w:tcW w:w="1260" w:type="dxa"/>
          </w:tcPr>
          <w:p w:rsidR="001C0D62" w:rsidRDefault="001C0D62">
            <w:pPr>
              <w:autoSpaceDE w:val="0"/>
              <w:autoSpaceDN w:val="0"/>
              <w:adjustRightInd w:val="0"/>
              <w:rPr>
                <w:rFonts w:ascii="Arial" w:hAnsi="Arial" w:cs="Arial"/>
              </w:rPr>
            </w:pPr>
            <w:r>
              <w:rPr>
                <w:rFonts w:ascii="Arial" w:hAnsi="Arial" w:cs="Arial"/>
              </w:rPr>
              <w:t>.2042</w:t>
            </w:r>
          </w:p>
        </w:tc>
        <w:tc>
          <w:tcPr>
            <w:tcW w:w="1080" w:type="dxa"/>
          </w:tcPr>
          <w:p w:rsidR="001C0D62" w:rsidRDefault="001C0D62">
            <w:pPr>
              <w:autoSpaceDE w:val="0"/>
              <w:autoSpaceDN w:val="0"/>
              <w:adjustRightInd w:val="0"/>
              <w:rPr>
                <w:rFonts w:ascii="Arial" w:hAnsi="Arial" w:cs="Arial"/>
              </w:rPr>
            </w:pPr>
            <w:r>
              <w:rPr>
                <w:rFonts w:ascii="Arial" w:hAnsi="Arial" w:cs="Arial"/>
              </w:rPr>
              <w:t>.2423</w:t>
            </w:r>
          </w:p>
        </w:tc>
        <w:tc>
          <w:tcPr>
            <w:tcW w:w="1440" w:type="dxa"/>
          </w:tcPr>
          <w:p w:rsidR="001C0D62" w:rsidRDefault="001C0D62">
            <w:pPr>
              <w:autoSpaceDE w:val="0"/>
              <w:autoSpaceDN w:val="0"/>
              <w:adjustRightInd w:val="0"/>
              <w:rPr>
                <w:rFonts w:ascii="Arial" w:hAnsi="Arial" w:cs="Arial"/>
              </w:rPr>
            </w:pPr>
            <w:r>
              <w:rPr>
                <w:rFonts w:ascii="Arial" w:hAnsi="Arial" w:cs="Arial"/>
              </w:rPr>
              <w:t>.2858</w:t>
            </w:r>
          </w:p>
        </w:tc>
        <w:tc>
          <w:tcPr>
            <w:tcW w:w="1260" w:type="dxa"/>
          </w:tcPr>
          <w:p w:rsidR="001C0D62" w:rsidRDefault="001C0D62">
            <w:pPr>
              <w:autoSpaceDE w:val="0"/>
              <w:autoSpaceDN w:val="0"/>
              <w:adjustRightInd w:val="0"/>
              <w:rPr>
                <w:rFonts w:ascii="Arial" w:hAnsi="Arial" w:cs="Arial"/>
              </w:rPr>
            </w:pPr>
            <w:r>
              <w:rPr>
                <w:rFonts w:ascii="Arial" w:hAnsi="Arial" w:cs="Arial"/>
              </w:rPr>
              <w:t>.3150</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65</w:t>
            </w:r>
          </w:p>
        </w:tc>
        <w:tc>
          <w:tcPr>
            <w:tcW w:w="1800" w:type="dxa"/>
          </w:tcPr>
          <w:p w:rsidR="001C0D62" w:rsidRDefault="001C0D62">
            <w:pPr>
              <w:autoSpaceDE w:val="0"/>
              <w:autoSpaceDN w:val="0"/>
              <w:adjustRightInd w:val="0"/>
              <w:rPr>
                <w:rFonts w:ascii="Arial" w:hAnsi="Arial" w:cs="Arial"/>
              </w:rPr>
            </w:pPr>
            <w:r>
              <w:rPr>
                <w:rFonts w:ascii="Arial" w:hAnsi="Arial" w:cs="Arial"/>
              </w:rPr>
              <w:t>.0838</w:t>
            </w:r>
          </w:p>
        </w:tc>
        <w:tc>
          <w:tcPr>
            <w:tcW w:w="1260" w:type="dxa"/>
          </w:tcPr>
          <w:p w:rsidR="001C0D62" w:rsidRDefault="001C0D62">
            <w:pPr>
              <w:autoSpaceDE w:val="0"/>
              <w:autoSpaceDN w:val="0"/>
              <w:adjustRightInd w:val="0"/>
              <w:rPr>
                <w:rFonts w:ascii="Arial" w:hAnsi="Arial" w:cs="Arial"/>
              </w:rPr>
            </w:pPr>
            <w:r>
              <w:rPr>
                <w:rFonts w:ascii="Arial" w:hAnsi="Arial" w:cs="Arial"/>
              </w:rPr>
              <w:t>.1586</w:t>
            </w:r>
          </w:p>
        </w:tc>
        <w:tc>
          <w:tcPr>
            <w:tcW w:w="1260" w:type="dxa"/>
          </w:tcPr>
          <w:p w:rsidR="001C0D62" w:rsidRDefault="001C0D62">
            <w:pPr>
              <w:autoSpaceDE w:val="0"/>
              <w:autoSpaceDN w:val="0"/>
              <w:adjustRightInd w:val="0"/>
              <w:rPr>
                <w:rFonts w:ascii="Arial" w:hAnsi="Arial" w:cs="Arial"/>
              </w:rPr>
            </w:pPr>
            <w:r>
              <w:rPr>
                <w:rFonts w:ascii="Arial" w:hAnsi="Arial" w:cs="Arial"/>
              </w:rPr>
              <w:t>.2027</w:t>
            </w:r>
          </w:p>
        </w:tc>
        <w:tc>
          <w:tcPr>
            <w:tcW w:w="1080" w:type="dxa"/>
          </w:tcPr>
          <w:p w:rsidR="001C0D62" w:rsidRDefault="001C0D62">
            <w:pPr>
              <w:autoSpaceDE w:val="0"/>
              <w:autoSpaceDN w:val="0"/>
              <w:adjustRightInd w:val="0"/>
              <w:rPr>
                <w:rFonts w:ascii="Arial" w:hAnsi="Arial" w:cs="Arial"/>
              </w:rPr>
            </w:pPr>
            <w:r>
              <w:rPr>
                <w:rFonts w:ascii="Arial" w:hAnsi="Arial" w:cs="Arial"/>
              </w:rPr>
              <w:t>.2404</w:t>
            </w:r>
          </w:p>
        </w:tc>
        <w:tc>
          <w:tcPr>
            <w:tcW w:w="1440" w:type="dxa"/>
          </w:tcPr>
          <w:p w:rsidR="001C0D62" w:rsidRDefault="001C0D62">
            <w:pPr>
              <w:autoSpaceDE w:val="0"/>
              <w:autoSpaceDN w:val="0"/>
              <w:adjustRightInd w:val="0"/>
              <w:rPr>
                <w:rFonts w:ascii="Arial" w:hAnsi="Arial" w:cs="Arial"/>
              </w:rPr>
            </w:pPr>
            <w:r>
              <w:rPr>
                <w:rFonts w:ascii="Arial" w:hAnsi="Arial" w:cs="Arial"/>
              </w:rPr>
              <w:t>.2837</w:t>
            </w:r>
          </w:p>
        </w:tc>
        <w:tc>
          <w:tcPr>
            <w:tcW w:w="1260" w:type="dxa"/>
          </w:tcPr>
          <w:p w:rsidR="001C0D62" w:rsidRDefault="001C0D62">
            <w:pPr>
              <w:autoSpaceDE w:val="0"/>
              <w:autoSpaceDN w:val="0"/>
              <w:adjustRightInd w:val="0"/>
              <w:rPr>
                <w:rFonts w:ascii="Arial" w:hAnsi="Arial" w:cs="Arial"/>
              </w:rPr>
            </w:pPr>
            <w:r>
              <w:rPr>
                <w:rFonts w:ascii="Arial" w:hAnsi="Arial" w:cs="Arial"/>
              </w:rPr>
              <w:t>.3126</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66</w:t>
            </w:r>
          </w:p>
        </w:tc>
        <w:tc>
          <w:tcPr>
            <w:tcW w:w="1800" w:type="dxa"/>
          </w:tcPr>
          <w:p w:rsidR="001C0D62" w:rsidRDefault="001C0D62">
            <w:pPr>
              <w:autoSpaceDE w:val="0"/>
              <w:autoSpaceDN w:val="0"/>
              <w:adjustRightInd w:val="0"/>
              <w:rPr>
                <w:rFonts w:ascii="Arial" w:hAnsi="Arial" w:cs="Arial"/>
              </w:rPr>
            </w:pPr>
            <w:r>
              <w:rPr>
                <w:rFonts w:ascii="Arial" w:hAnsi="Arial" w:cs="Arial"/>
              </w:rPr>
              <w:t>.0832</w:t>
            </w:r>
          </w:p>
        </w:tc>
        <w:tc>
          <w:tcPr>
            <w:tcW w:w="1260" w:type="dxa"/>
          </w:tcPr>
          <w:p w:rsidR="001C0D62" w:rsidRDefault="001C0D62">
            <w:pPr>
              <w:autoSpaceDE w:val="0"/>
              <w:autoSpaceDN w:val="0"/>
              <w:adjustRightInd w:val="0"/>
              <w:rPr>
                <w:rFonts w:ascii="Arial" w:hAnsi="Arial" w:cs="Arial"/>
              </w:rPr>
            </w:pPr>
            <w:r>
              <w:rPr>
                <w:rFonts w:ascii="Arial" w:hAnsi="Arial" w:cs="Arial"/>
              </w:rPr>
              <w:t>.1574</w:t>
            </w:r>
          </w:p>
        </w:tc>
        <w:tc>
          <w:tcPr>
            <w:tcW w:w="1260" w:type="dxa"/>
          </w:tcPr>
          <w:p w:rsidR="001C0D62" w:rsidRDefault="001C0D62">
            <w:pPr>
              <w:autoSpaceDE w:val="0"/>
              <w:autoSpaceDN w:val="0"/>
              <w:adjustRightInd w:val="0"/>
              <w:rPr>
                <w:rFonts w:ascii="Arial" w:hAnsi="Arial" w:cs="Arial"/>
              </w:rPr>
            </w:pPr>
            <w:r>
              <w:rPr>
                <w:rFonts w:ascii="Arial" w:hAnsi="Arial" w:cs="Arial"/>
              </w:rPr>
              <w:t>.2012</w:t>
            </w:r>
          </w:p>
        </w:tc>
        <w:tc>
          <w:tcPr>
            <w:tcW w:w="1080" w:type="dxa"/>
          </w:tcPr>
          <w:p w:rsidR="001C0D62" w:rsidRDefault="001C0D62">
            <w:pPr>
              <w:autoSpaceDE w:val="0"/>
              <w:autoSpaceDN w:val="0"/>
              <w:adjustRightInd w:val="0"/>
              <w:rPr>
                <w:rFonts w:ascii="Arial" w:hAnsi="Arial" w:cs="Arial"/>
              </w:rPr>
            </w:pPr>
            <w:r>
              <w:rPr>
                <w:rFonts w:ascii="Arial" w:hAnsi="Arial" w:cs="Arial"/>
              </w:rPr>
              <w:t>.2387</w:t>
            </w:r>
          </w:p>
        </w:tc>
        <w:tc>
          <w:tcPr>
            <w:tcW w:w="1440" w:type="dxa"/>
          </w:tcPr>
          <w:p w:rsidR="001C0D62" w:rsidRDefault="001C0D62">
            <w:pPr>
              <w:autoSpaceDE w:val="0"/>
              <w:autoSpaceDN w:val="0"/>
              <w:adjustRightInd w:val="0"/>
              <w:rPr>
                <w:rFonts w:ascii="Arial" w:hAnsi="Arial" w:cs="Arial"/>
              </w:rPr>
            </w:pPr>
            <w:r>
              <w:rPr>
                <w:rFonts w:ascii="Arial" w:hAnsi="Arial" w:cs="Arial"/>
              </w:rPr>
              <w:t>.2816</w:t>
            </w:r>
          </w:p>
        </w:tc>
        <w:tc>
          <w:tcPr>
            <w:tcW w:w="1260" w:type="dxa"/>
          </w:tcPr>
          <w:p w:rsidR="001C0D62" w:rsidRDefault="001C0D62">
            <w:pPr>
              <w:autoSpaceDE w:val="0"/>
              <w:autoSpaceDN w:val="0"/>
              <w:adjustRightInd w:val="0"/>
              <w:rPr>
                <w:rFonts w:ascii="Arial" w:hAnsi="Arial" w:cs="Arial"/>
              </w:rPr>
            </w:pPr>
            <w:r>
              <w:rPr>
                <w:rFonts w:ascii="Arial" w:hAnsi="Arial" w:cs="Arial"/>
              </w:rPr>
              <w:t>.3104</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67</w:t>
            </w:r>
          </w:p>
        </w:tc>
        <w:tc>
          <w:tcPr>
            <w:tcW w:w="1800" w:type="dxa"/>
          </w:tcPr>
          <w:p w:rsidR="001C0D62" w:rsidRDefault="001C0D62">
            <w:pPr>
              <w:autoSpaceDE w:val="0"/>
              <w:autoSpaceDN w:val="0"/>
              <w:adjustRightInd w:val="0"/>
              <w:rPr>
                <w:rFonts w:ascii="Arial" w:hAnsi="Arial" w:cs="Arial"/>
              </w:rPr>
            </w:pPr>
            <w:r>
              <w:rPr>
                <w:rFonts w:ascii="Arial" w:hAnsi="Arial" w:cs="Arial"/>
              </w:rPr>
              <w:t>.0826</w:t>
            </w:r>
          </w:p>
        </w:tc>
        <w:tc>
          <w:tcPr>
            <w:tcW w:w="1260" w:type="dxa"/>
          </w:tcPr>
          <w:p w:rsidR="001C0D62" w:rsidRDefault="001C0D62">
            <w:pPr>
              <w:autoSpaceDE w:val="0"/>
              <w:autoSpaceDN w:val="0"/>
              <w:adjustRightInd w:val="0"/>
              <w:rPr>
                <w:rFonts w:ascii="Arial" w:hAnsi="Arial" w:cs="Arial"/>
              </w:rPr>
            </w:pPr>
            <w:r>
              <w:rPr>
                <w:rFonts w:ascii="Arial" w:hAnsi="Arial" w:cs="Arial"/>
              </w:rPr>
              <w:t>.1562</w:t>
            </w:r>
          </w:p>
        </w:tc>
        <w:tc>
          <w:tcPr>
            <w:tcW w:w="1260" w:type="dxa"/>
          </w:tcPr>
          <w:p w:rsidR="001C0D62" w:rsidRDefault="001C0D62">
            <w:pPr>
              <w:autoSpaceDE w:val="0"/>
              <w:autoSpaceDN w:val="0"/>
              <w:adjustRightInd w:val="0"/>
              <w:rPr>
                <w:rFonts w:ascii="Arial" w:hAnsi="Arial" w:cs="Arial"/>
              </w:rPr>
            </w:pPr>
            <w:r>
              <w:rPr>
                <w:rFonts w:ascii="Arial" w:hAnsi="Arial" w:cs="Arial"/>
              </w:rPr>
              <w:t>.1997</w:t>
            </w:r>
          </w:p>
        </w:tc>
        <w:tc>
          <w:tcPr>
            <w:tcW w:w="1080" w:type="dxa"/>
          </w:tcPr>
          <w:p w:rsidR="001C0D62" w:rsidRDefault="001C0D62">
            <w:pPr>
              <w:autoSpaceDE w:val="0"/>
              <w:autoSpaceDN w:val="0"/>
              <w:adjustRightInd w:val="0"/>
              <w:rPr>
                <w:rFonts w:ascii="Arial" w:hAnsi="Arial" w:cs="Arial"/>
              </w:rPr>
            </w:pPr>
            <w:r>
              <w:rPr>
                <w:rFonts w:ascii="Arial" w:hAnsi="Arial" w:cs="Arial"/>
              </w:rPr>
              <w:t>.2369</w:t>
            </w:r>
          </w:p>
        </w:tc>
        <w:tc>
          <w:tcPr>
            <w:tcW w:w="1440" w:type="dxa"/>
          </w:tcPr>
          <w:p w:rsidR="001C0D62" w:rsidRDefault="001C0D62">
            <w:pPr>
              <w:autoSpaceDE w:val="0"/>
              <w:autoSpaceDN w:val="0"/>
              <w:adjustRightInd w:val="0"/>
              <w:rPr>
                <w:rFonts w:ascii="Arial" w:hAnsi="Arial" w:cs="Arial"/>
              </w:rPr>
            </w:pPr>
            <w:r>
              <w:rPr>
                <w:rFonts w:ascii="Arial" w:hAnsi="Arial" w:cs="Arial"/>
              </w:rPr>
              <w:t>.2796</w:t>
            </w:r>
          </w:p>
        </w:tc>
        <w:tc>
          <w:tcPr>
            <w:tcW w:w="1260" w:type="dxa"/>
          </w:tcPr>
          <w:p w:rsidR="001C0D62" w:rsidRDefault="001C0D62">
            <w:pPr>
              <w:autoSpaceDE w:val="0"/>
              <w:autoSpaceDN w:val="0"/>
              <w:adjustRightInd w:val="0"/>
              <w:rPr>
                <w:rFonts w:ascii="Arial" w:hAnsi="Arial" w:cs="Arial"/>
              </w:rPr>
            </w:pPr>
            <w:r>
              <w:rPr>
                <w:rFonts w:ascii="Arial" w:hAnsi="Arial" w:cs="Arial"/>
              </w:rPr>
              <w:t>.3081</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68</w:t>
            </w:r>
          </w:p>
        </w:tc>
        <w:tc>
          <w:tcPr>
            <w:tcW w:w="1800" w:type="dxa"/>
          </w:tcPr>
          <w:p w:rsidR="001C0D62" w:rsidRDefault="001C0D62">
            <w:pPr>
              <w:autoSpaceDE w:val="0"/>
              <w:autoSpaceDN w:val="0"/>
              <w:adjustRightInd w:val="0"/>
              <w:rPr>
                <w:rFonts w:ascii="Arial" w:hAnsi="Arial" w:cs="Arial"/>
              </w:rPr>
            </w:pPr>
            <w:r>
              <w:rPr>
                <w:rFonts w:ascii="Arial" w:hAnsi="Arial" w:cs="Arial"/>
              </w:rPr>
              <w:t>.0820</w:t>
            </w:r>
          </w:p>
        </w:tc>
        <w:tc>
          <w:tcPr>
            <w:tcW w:w="1260" w:type="dxa"/>
          </w:tcPr>
          <w:p w:rsidR="001C0D62" w:rsidRDefault="001C0D62">
            <w:pPr>
              <w:autoSpaceDE w:val="0"/>
              <w:autoSpaceDN w:val="0"/>
              <w:adjustRightInd w:val="0"/>
              <w:rPr>
                <w:rFonts w:ascii="Arial" w:hAnsi="Arial" w:cs="Arial"/>
              </w:rPr>
            </w:pPr>
            <w:r>
              <w:rPr>
                <w:rFonts w:ascii="Arial" w:hAnsi="Arial" w:cs="Arial"/>
              </w:rPr>
              <w:t>.1550</w:t>
            </w:r>
          </w:p>
        </w:tc>
        <w:tc>
          <w:tcPr>
            <w:tcW w:w="1260" w:type="dxa"/>
          </w:tcPr>
          <w:p w:rsidR="001C0D62" w:rsidRDefault="001C0D62">
            <w:pPr>
              <w:autoSpaceDE w:val="0"/>
              <w:autoSpaceDN w:val="0"/>
              <w:adjustRightInd w:val="0"/>
              <w:rPr>
                <w:rFonts w:ascii="Arial" w:hAnsi="Arial" w:cs="Arial"/>
              </w:rPr>
            </w:pPr>
            <w:r>
              <w:rPr>
                <w:rFonts w:ascii="Arial" w:hAnsi="Arial" w:cs="Arial"/>
              </w:rPr>
              <w:t>.1982</w:t>
            </w:r>
          </w:p>
        </w:tc>
        <w:tc>
          <w:tcPr>
            <w:tcW w:w="1080" w:type="dxa"/>
          </w:tcPr>
          <w:p w:rsidR="001C0D62" w:rsidRDefault="001C0D62">
            <w:pPr>
              <w:autoSpaceDE w:val="0"/>
              <w:autoSpaceDN w:val="0"/>
              <w:adjustRightInd w:val="0"/>
              <w:rPr>
                <w:rFonts w:ascii="Arial" w:hAnsi="Arial" w:cs="Arial"/>
              </w:rPr>
            </w:pPr>
            <w:r>
              <w:rPr>
                <w:rFonts w:ascii="Arial" w:hAnsi="Arial" w:cs="Arial"/>
              </w:rPr>
              <w:t>.2352</w:t>
            </w:r>
          </w:p>
        </w:tc>
        <w:tc>
          <w:tcPr>
            <w:tcW w:w="1440" w:type="dxa"/>
          </w:tcPr>
          <w:p w:rsidR="001C0D62" w:rsidRDefault="001C0D62">
            <w:pPr>
              <w:autoSpaceDE w:val="0"/>
              <w:autoSpaceDN w:val="0"/>
              <w:adjustRightInd w:val="0"/>
              <w:rPr>
                <w:rFonts w:ascii="Arial" w:hAnsi="Arial" w:cs="Arial"/>
              </w:rPr>
            </w:pPr>
            <w:r>
              <w:rPr>
                <w:rFonts w:ascii="Arial" w:hAnsi="Arial" w:cs="Arial"/>
              </w:rPr>
              <w:t>.2776</w:t>
            </w:r>
          </w:p>
        </w:tc>
        <w:tc>
          <w:tcPr>
            <w:tcW w:w="1260" w:type="dxa"/>
          </w:tcPr>
          <w:p w:rsidR="001C0D62" w:rsidRDefault="001C0D62">
            <w:pPr>
              <w:autoSpaceDE w:val="0"/>
              <w:autoSpaceDN w:val="0"/>
              <w:adjustRightInd w:val="0"/>
              <w:rPr>
                <w:rFonts w:ascii="Arial" w:hAnsi="Arial" w:cs="Arial"/>
              </w:rPr>
            </w:pPr>
            <w:r>
              <w:rPr>
                <w:rFonts w:ascii="Arial" w:hAnsi="Arial" w:cs="Arial"/>
              </w:rPr>
              <w:t>.3060</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69</w:t>
            </w:r>
          </w:p>
        </w:tc>
        <w:tc>
          <w:tcPr>
            <w:tcW w:w="1800" w:type="dxa"/>
          </w:tcPr>
          <w:p w:rsidR="001C0D62" w:rsidRDefault="001C0D62">
            <w:pPr>
              <w:autoSpaceDE w:val="0"/>
              <w:autoSpaceDN w:val="0"/>
              <w:adjustRightInd w:val="0"/>
              <w:rPr>
                <w:rFonts w:ascii="Arial" w:hAnsi="Arial" w:cs="Arial"/>
              </w:rPr>
            </w:pPr>
            <w:r>
              <w:rPr>
                <w:rFonts w:ascii="Arial" w:hAnsi="Arial" w:cs="Arial"/>
              </w:rPr>
              <w:t>.0814</w:t>
            </w:r>
          </w:p>
        </w:tc>
        <w:tc>
          <w:tcPr>
            <w:tcW w:w="1260" w:type="dxa"/>
          </w:tcPr>
          <w:p w:rsidR="001C0D62" w:rsidRDefault="001C0D62">
            <w:pPr>
              <w:autoSpaceDE w:val="0"/>
              <w:autoSpaceDN w:val="0"/>
              <w:adjustRightInd w:val="0"/>
              <w:rPr>
                <w:rFonts w:ascii="Arial" w:hAnsi="Arial" w:cs="Arial"/>
              </w:rPr>
            </w:pPr>
            <w:r>
              <w:rPr>
                <w:rFonts w:ascii="Arial" w:hAnsi="Arial" w:cs="Arial"/>
              </w:rPr>
              <w:t>.1539</w:t>
            </w:r>
          </w:p>
        </w:tc>
        <w:tc>
          <w:tcPr>
            <w:tcW w:w="1260" w:type="dxa"/>
          </w:tcPr>
          <w:p w:rsidR="001C0D62" w:rsidRDefault="001C0D62">
            <w:pPr>
              <w:autoSpaceDE w:val="0"/>
              <w:autoSpaceDN w:val="0"/>
              <w:adjustRightInd w:val="0"/>
              <w:rPr>
                <w:rFonts w:ascii="Arial" w:hAnsi="Arial" w:cs="Arial"/>
              </w:rPr>
            </w:pPr>
            <w:r>
              <w:rPr>
                <w:rFonts w:ascii="Arial" w:hAnsi="Arial" w:cs="Arial"/>
              </w:rPr>
              <w:t>.1968</w:t>
            </w:r>
          </w:p>
        </w:tc>
        <w:tc>
          <w:tcPr>
            <w:tcW w:w="1080" w:type="dxa"/>
          </w:tcPr>
          <w:p w:rsidR="001C0D62" w:rsidRDefault="001C0D62">
            <w:pPr>
              <w:autoSpaceDE w:val="0"/>
              <w:autoSpaceDN w:val="0"/>
              <w:adjustRightInd w:val="0"/>
              <w:rPr>
                <w:rFonts w:ascii="Arial" w:hAnsi="Arial" w:cs="Arial"/>
              </w:rPr>
            </w:pPr>
            <w:r>
              <w:rPr>
                <w:rFonts w:ascii="Arial" w:hAnsi="Arial" w:cs="Arial"/>
              </w:rPr>
              <w:t>.2335</w:t>
            </w:r>
          </w:p>
        </w:tc>
        <w:tc>
          <w:tcPr>
            <w:tcW w:w="1440" w:type="dxa"/>
          </w:tcPr>
          <w:p w:rsidR="001C0D62" w:rsidRDefault="001C0D62">
            <w:pPr>
              <w:autoSpaceDE w:val="0"/>
              <w:autoSpaceDN w:val="0"/>
              <w:adjustRightInd w:val="0"/>
              <w:rPr>
                <w:rFonts w:ascii="Arial" w:hAnsi="Arial" w:cs="Arial"/>
              </w:rPr>
            </w:pPr>
            <w:r>
              <w:rPr>
                <w:rFonts w:ascii="Arial" w:hAnsi="Arial" w:cs="Arial"/>
              </w:rPr>
              <w:t>.2756</w:t>
            </w:r>
          </w:p>
        </w:tc>
        <w:tc>
          <w:tcPr>
            <w:tcW w:w="1260" w:type="dxa"/>
          </w:tcPr>
          <w:p w:rsidR="001C0D62" w:rsidRDefault="001C0D62">
            <w:pPr>
              <w:autoSpaceDE w:val="0"/>
              <w:autoSpaceDN w:val="0"/>
              <w:adjustRightInd w:val="0"/>
              <w:rPr>
                <w:rFonts w:ascii="Arial" w:hAnsi="Arial" w:cs="Arial"/>
              </w:rPr>
            </w:pPr>
            <w:r>
              <w:rPr>
                <w:rFonts w:ascii="Arial" w:hAnsi="Arial" w:cs="Arial"/>
              </w:rPr>
              <w:t>.3038</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70</w:t>
            </w:r>
          </w:p>
        </w:tc>
        <w:tc>
          <w:tcPr>
            <w:tcW w:w="1800" w:type="dxa"/>
          </w:tcPr>
          <w:p w:rsidR="001C0D62" w:rsidRDefault="001C0D62">
            <w:pPr>
              <w:autoSpaceDE w:val="0"/>
              <w:autoSpaceDN w:val="0"/>
              <w:adjustRightInd w:val="0"/>
              <w:rPr>
                <w:rFonts w:ascii="Arial" w:hAnsi="Arial" w:cs="Arial"/>
              </w:rPr>
            </w:pPr>
            <w:r>
              <w:rPr>
                <w:rFonts w:ascii="Arial" w:hAnsi="Arial" w:cs="Arial"/>
              </w:rPr>
              <w:t>.0808</w:t>
            </w:r>
          </w:p>
        </w:tc>
        <w:tc>
          <w:tcPr>
            <w:tcW w:w="1260" w:type="dxa"/>
          </w:tcPr>
          <w:p w:rsidR="001C0D62" w:rsidRDefault="001C0D62">
            <w:pPr>
              <w:autoSpaceDE w:val="0"/>
              <w:autoSpaceDN w:val="0"/>
              <w:adjustRightInd w:val="0"/>
              <w:rPr>
                <w:rFonts w:ascii="Arial" w:hAnsi="Arial" w:cs="Arial"/>
              </w:rPr>
            </w:pPr>
            <w:r>
              <w:rPr>
                <w:rFonts w:ascii="Arial" w:hAnsi="Arial" w:cs="Arial"/>
              </w:rPr>
              <w:t>.1528</w:t>
            </w:r>
          </w:p>
        </w:tc>
        <w:tc>
          <w:tcPr>
            <w:tcW w:w="1260" w:type="dxa"/>
          </w:tcPr>
          <w:p w:rsidR="001C0D62" w:rsidRDefault="001C0D62">
            <w:pPr>
              <w:autoSpaceDE w:val="0"/>
              <w:autoSpaceDN w:val="0"/>
              <w:adjustRightInd w:val="0"/>
              <w:rPr>
                <w:rFonts w:ascii="Arial" w:hAnsi="Arial" w:cs="Arial"/>
              </w:rPr>
            </w:pPr>
            <w:r>
              <w:rPr>
                <w:rFonts w:ascii="Arial" w:hAnsi="Arial" w:cs="Arial"/>
              </w:rPr>
              <w:t>.1954</w:t>
            </w:r>
          </w:p>
        </w:tc>
        <w:tc>
          <w:tcPr>
            <w:tcW w:w="1080" w:type="dxa"/>
          </w:tcPr>
          <w:p w:rsidR="001C0D62" w:rsidRDefault="001C0D62">
            <w:pPr>
              <w:autoSpaceDE w:val="0"/>
              <w:autoSpaceDN w:val="0"/>
              <w:adjustRightInd w:val="0"/>
              <w:rPr>
                <w:rFonts w:ascii="Arial" w:hAnsi="Arial" w:cs="Arial"/>
              </w:rPr>
            </w:pPr>
            <w:r>
              <w:rPr>
                <w:rFonts w:ascii="Arial" w:hAnsi="Arial" w:cs="Arial"/>
              </w:rPr>
              <w:t>.2319</w:t>
            </w:r>
          </w:p>
        </w:tc>
        <w:tc>
          <w:tcPr>
            <w:tcW w:w="1440" w:type="dxa"/>
          </w:tcPr>
          <w:p w:rsidR="001C0D62" w:rsidRDefault="001C0D62">
            <w:pPr>
              <w:autoSpaceDE w:val="0"/>
              <w:autoSpaceDN w:val="0"/>
              <w:adjustRightInd w:val="0"/>
              <w:rPr>
                <w:rFonts w:ascii="Arial" w:hAnsi="Arial" w:cs="Arial"/>
              </w:rPr>
            </w:pPr>
            <w:r>
              <w:rPr>
                <w:rFonts w:ascii="Arial" w:hAnsi="Arial" w:cs="Arial"/>
              </w:rPr>
              <w:t>.2737</w:t>
            </w:r>
          </w:p>
        </w:tc>
        <w:tc>
          <w:tcPr>
            <w:tcW w:w="1260" w:type="dxa"/>
          </w:tcPr>
          <w:p w:rsidR="001C0D62" w:rsidRDefault="001C0D62">
            <w:pPr>
              <w:autoSpaceDE w:val="0"/>
              <w:autoSpaceDN w:val="0"/>
              <w:adjustRightInd w:val="0"/>
              <w:rPr>
                <w:rFonts w:ascii="Arial" w:hAnsi="Arial" w:cs="Arial"/>
              </w:rPr>
            </w:pPr>
            <w:r>
              <w:rPr>
                <w:rFonts w:ascii="Arial" w:hAnsi="Arial" w:cs="Arial"/>
              </w:rPr>
              <w:t>.3017</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71</w:t>
            </w:r>
          </w:p>
        </w:tc>
        <w:tc>
          <w:tcPr>
            <w:tcW w:w="1800" w:type="dxa"/>
          </w:tcPr>
          <w:p w:rsidR="001C0D62" w:rsidRDefault="001C0D62">
            <w:pPr>
              <w:autoSpaceDE w:val="0"/>
              <w:autoSpaceDN w:val="0"/>
              <w:adjustRightInd w:val="0"/>
              <w:rPr>
                <w:rFonts w:ascii="Arial" w:hAnsi="Arial" w:cs="Arial"/>
              </w:rPr>
            </w:pPr>
            <w:r>
              <w:rPr>
                <w:rFonts w:ascii="Arial" w:hAnsi="Arial" w:cs="Arial"/>
              </w:rPr>
              <w:t>.0802</w:t>
            </w:r>
          </w:p>
        </w:tc>
        <w:tc>
          <w:tcPr>
            <w:tcW w:w="1260" w:type="dxa"/>
          </w:tcPr>
          <w:p w:rsidR="001C0D62" w:rsidRDefault="001C0D62">
            <w:pPr>
              <w:autoSpaceDE w:val="0"/>
              <w:autoSpaceDN w:val="0"/>
              <w:adjustRightInd w:val="0"/>
              <w:rPr>
                <w:rFonts w:ascii="Arial" w:hAnsi="Arial" w:cs="Arial"/>
              </w:rPr>
            </w:pPr>
            <w:r>
              <w:rPr>
                <w:rFonts w:ascii="Arial" w:hAnsi="Arial" w:cs="Arial"/>
              </w:rPr>
              <w:t>.1517</w:t>
            </w:r>
          </w:p>
        </w:tc>
        <w:tc>
          <w:tcPr>
            <w:tcW w:w="1260" w:type="dxa"/>
          </w:tcPr>
          <w:p w:rsidR="001C0D62" w:rsidRDefault="001C0D62">
            <w:pPr>
              <w:autoSpaceDE w:val="0"/>
              <w:autoSpaceDN w:val="0"/>
              <w:adjustRightInd w:val="0"/>
              <w:rPr>
                <w:rFonts w:ascii="Arial" w:hAnsi="Arial" w:cs="Arial"/>
              </w:rPr>
            </w:pPr>
            <w:r>
              <w:rPr>
                <w:rFonts w:ascii="Arial" w:hAnsi="Arial" w:cs="Arial"/>
              </w:rPr>
              <w:t>.1940</w:t>
            </w:r>
          </w:p>
        </w:tc>
        <w:tc>
          <w:tcPr>
            <w:tcW w:w="1080" w:type="dxa"/>
          </w:tcPr>
          <w:p w:rsidR="001C0D62" w:rsidRDefault="001C0D62">
            <w:pPr>
              <w:autoSpaceDE w:val="0"/>
              <w:autoSpaceDN w:val="0"/>
              <w:adjustRightInd w:val="0"/>
              <w:rPr>
                <w:rFonts w:ascii="Arial" w:hAnsi="Arial" w:cs="Arial"/>
              </w:rPr>
            </w:pPr>
            <w:r>
              <w:rPr>
                <w:rFonts w:ascii="Arial" w:hAnsi="Arial" w:cs="Arial"/>
              </w:rPr>
              <w:t>.2303</w:t>
            </w:r>
          </w:p>
        </w:tc>
        <w:tc>
          <w:tcPr>
            <w:tcW w:w="1440" w:type="dxa"/>
          </w:tcPr>
          <w:p w:rsidR="001C0D62" w:rsidRDefault="001C0D62">
            <w:pPr>
              <w:autoSpaceDE w:val="0"/>
              <w:autoSpaceDN w:val="0"/>
              <w:adjustRightInd w:val="0"/>
              <w:rPr>
                <w:rFonts w:ascii="Arial" w:hAnsi="Arial" w:cs="Arial"/>
              </w:rPr>
            </w:pPr>
            <w:r>
              <w:rPr>
                <w:rFonts w:ascii="Arial" w:hAnsi="Arial" w:cs="Arial"/>
              </w:rPr>
              <w:t>.2718</w:t>
            </w:r>
          </w:p>
        </w:tc>
        <w:tc>
          <w:tcPr>
            <w:tcW w:w="1260" w:type="dxa"/>
          </w:tcPr>
          <w:p w:rsidR="001C0D62" w:rsidRDefault="001C0D62">
            <w:pPr>
              <w:autoSpaceDE w:val="0"/>
              <w:autoSpaceDN w:val="0"/>
              <w:adjustRightInd w:val="0"/>
              <w:rPr>
                <w:rFonts w:ascii="Arial" w:hAnsi="Arial" w:cs="Arial"/>
              </w:rPr>
            </w:pPr>
            <w:r>
              <w:rPr>
                <w:rFonts w:ascii="Arial" w:hAnsi="Arial" w:cs="Arial"/>
              </w:rPr>
              <w:t>.2997</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72</w:t>
            </w:r>
          </w:p>
        </w:tc>
        <w:tc>
          <w:tcPr>
            <w:tcW w:w="1800" w:type="dxa"/>
          </w:tcPr>
          <w:p w:rsidR="001C0D62" w:rsidRDefault="001C0D62">
            <w:pPr>
              <w:autoSpaceDE w:val="0"/>
              <w:autoSpaceDN w:val="0"/>
              <w:adjustRightInd w:val="0"/>
              <w:rPr>
                <w:rFonts w:ascii="Arial" w:hAnsi="Arial" w:cs="Arial"/>
              </w:rPr>
            </w:pPr>
            <w:r>
              <w:rPr>
                <w:rFonts w:ascii="Arial" w:hAnsi="Arial" w:cs="Arial"/>
              </w:rPr>
              <w:t>.0796</w:t>
            </w:r>
          </w:p>
        </w:tc>
        <w:tc>
          <w:tcPr>
            <w:tcW w:w="1260" w:type="dxa"/>
          </w:tcPr>
          <w:p w:rsidR="001C0D62" w:rsidRDefault="001C0D62">
            <w:pPr>
              <w:autoSpaceDE w:val="0"/>
              <w:autoSpaceDN w:val="0"/>
              <w:adjustRightInd w:val="0"/>
              <w:rPr>
                <w:rFonts w:ascii="Arial" w:hAnsi="Arial" w:cs="Arial"/>
              </w:rPr>
            </w:pPr>
            <w:r>
              <w:rPr>
                <w:rFonts w:ascii="Arial" w:hAnsi="Arial" w:cs="Arial"/>
              </w:rPr>
              <w:t>.1507</w:t>
            </w:r>
          </w:p>
        </w:tc>
        <w:tc>
          <w:tcPr>
            <w:tcW w:w="1260" w:type="dxa"/>
          </w:tcPr>
          <w:p w:rsidR="001C0D62" w:rsidRDefault="001C0D62">
            <w:pPr>
              <w:autoSpaceDE w:val="0"/>
              <w:autoSpaceDN w:val="0"/>
              <w:adjustRightInd w:val="0"/>
              <w:rPr>
                <w:rFonts w:ascii="Arial" w:hAnsi="Arial" w:cs="Arial"/>
              </w:rPr>
            </w:pPr>
            <w:r>
              <w:rPr>
                <w:rFonts w:ascii="Arial" w:hAnsi="Arial" w:cs="Arial"/>
              </w:rPr>
              <w:t>.1927</w:t>
            </w:r>
          </w:p>
        </w:tc>
        <w:tc>
          <w:tcPr>
            <w:tcW w:w="1080" w:type="dxa"/>
          </w:tcPr>
          <w:p w:rsidR="001C0D62" w:rsidRDefault="001C0D62">
            <w:pPr>
              <w:autoSpaceDE w:val="0"/>
              <w:autoSpaceDN w:val="0"/>
              <w:adjustRightInd w:val="0"/>
              <w:rPr>
                <w:rFonts w:ascii="Arial" w:hAnsi="Arial" w:cs="Arial"/>
              </w:rPr>
            </w:pPr>
            <w:r>
              <w:rPr>
                <w:rFonts w:ascii="Arial" w:hAnsi="Arial" w:cs="Arial"/>
              </w:rPr>
              <w:t>.2287</w:t>
            </w:r>
          </w:p>
        </w:tc>
        <w:tc>
          <w:tcPr>
            <w:tcW w:w="1440" w:type="dxa"/>
          </w:tcPr>
          <w:p w:rsidR="001C0D62" w:rsidRDefault="001C0D62">
            <w:pPr>
              <w:autoSpaceDE w:val="0"/>
              <w:autoSpaceDN w:val="0"/>
              <w:adjustRightInd w:val="0"/>
              <w:rPr>
                <w:rFonts w:ascii="Arial" w:hAnsi="Arial" w:cs="Arial"/>
              </w:rPr>
            </w:pPr>
            <w:r>
              <w:rPr>
                <w:rFonts w:ascii="Arial" w:hAnsi="Arial" w:cs="Arial"/>
              </w:rPr>
              <w:t>.2700</w:t>
            </w:r>
          </w:p>
        </w:tc>
        <w:tc>
          <w:tcPr>
            <w:tcW w:w="1260" w:type="dxa"/>
          </w:tcPr>
          <w:p w:rsidR="001C0D62" w:rsidRDefault="001C0D62">
            <w:pPr>
              <w:autoSpaceDE w:val="0"/>
              <w:autoSpaceDN w:val="0"/>
              <w:adjustRightInd w:val="0"/>
              <w:rPr>
                <w:rFonts w:ascii="Arial" w:hAnsi="Arial" w:cs="Arial"/>
              </w:rPr>
            </w:pPr>
            <w:r>
              <w:rPr>
                <w:rFonts w:ascii="Arial" w:hAnsi="Arial" w:cs="Arial"/>
              </w:rPr>
              <w:t>.2977</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73</w:t>
            </w:r>
          </w:p>
        </w:tc>
        <w:tc>
          <w:tcPr>
            <w:tcW w:w="1800" w:type="dxa"/>
          </w:tcPr>
          <w:p w:rsidR="001C0D62" w:rsidRDefault="001C0D62">
            <w:pPr>
              <w:autoSpaceDE w:val="0"/>
              <w:autoSpaceDN w:val="0"/>
              <w:adjustRightInd w:val="0"/>
              <w:rPr>
                <w:rFonts w:ascii="Arial" w:hAnsi="Arial" w:cs="Arial"/>
              </w:rPr>
            </w:pPr>
            <w:r>
              <w:rPr>
                <w:rFonts w:ascii="Arial" w:hAnsi="Arial" w:cs="Arial"/>
              </w:rPr>
              <w:t>.0791</w:t>
            </w:r>
          </w:p>
        </w:tc>
        <w:tc>
          <w:tcPr>
            <w:tcW w:w="1260" w:type="dxa"/>
          </w:tcPr>
          <w:p w:rsidR="001C0D62" w:rsidRDefault="001C0D62">
            <w:pPr>
              <w:autoSpaceDE w:val="0"/>
              <w:autoSpaceDN w:val="0"/>
              <w:adjustRightInd w:val="0"/>
              <w:rPr>
                <w:rFonts w:ascii="Arial" w:hAnsi="Arial" w:cs="Arial"/>
              </w:rPr>
            </w:pPr>
            <w:r>
              <w:rPr>
                <w:rFonts w:ascii="Arial" w:hAnsi="Arial" w:cs="Arial"/>
              </w:rPr>
              <w:t>.1497</w:t>
            </w:r>
          </w:p>
        </w:tc>
        <w:tc>
          <w:tcPr>
            <w:tcW w:w="1260" w:type="dxa"/>
          </w:tcPr>
          <w:p w:rsidR="001C0D62" w:rsidRDefault="001C0D62">
            <w:pPr>
              <w:autoSpaceDE w:val="0"/>
              <w:autoSpaceDN w:val="0"/>
              <w:adjustRightInd w:val="0"/>
              <w:rPr>
                <w:rFonts w:ascii="Arial" w:hAnsi="Arial" w:cs="Arial"/>
              </w:rPr>
            </w:pPr>
            <w:r>
              <w:rPr>
                <w:rFonts w:ascii="Arial" w:hAnsi="Arial" w:cs="Arial"/>
              </w:rPr>
              <w:t>.1914</w:t>
            </w:r>
          </w:p>
        </w:tc>
        <w:tc>
          <w:tcPr>
            <w:tcW w:w="1080" w:type="dxa"/>
          </w:tcPr>
          <w:p w:rsidR="001C0D62" w:rsidRDefault="001C0D62">
            <w:pPr>
              <w:autoSpaceDE w:val="0"/>
              <w:autoSpaceDN w:val="0"/>
              <w:adjustRightInd w:val="0"/>
              <w:rPr>
                <w:rFonts w:ascii="Arial" w:hAnsi="Arial" w:cs="Arial"/>
              </w:rPr>
            </w:pPr>
            <w:r>
              <w:rPr>
                <w:rFonts w:ascii="Arial" w:hAnsi="Arial" w:cs="Arial"/>
              </w:rPr>
              <w:t>.2272</w:t>
            </w:r>
          </w:p>
        </w:tc>
        <w:tc>
          <w:tcPr>
            <w:tcW w:w="1440" w:type="dxa"/>
          </w:tcPr>
          <w:p w:rsidR="001C0D62" w:rsidRDefault="001C0D62">
            <w:pPr>
              <w:autoSpaceDE w:val="0"/>
              <w:autoSpaceDN w:val="0"/>
              <w:adjustRightInd w:val="0"/>
              <w:rPr>
                <w:rFonts w:ascii="Arial" w:hAnsi="Arial" w:cs="Arial"/>
              </w:rPr>
            </w:pPr>
            <w:r>
              <w:rPr>
                <w:rFonts w:ascii="Arial" w:hAnsi="Arial" w:cs="Arial"/>
              </w:rPr>
              <w:t>.2682</w:t>
            </w:r>
          </w:p>
        </w:tc>
        <w:tc>
          <w:tcPr>
            <w:tcW w:w="1260" w:type="dxa"/>
          </w:tcPr>
          <w:p w:rsidR="001C0D62" w:rsidRDefault="001C0D62">
            <w:pPr>
              <w:autoSpaceDE w:val="0"/>
              <w:autoSpaceDN w:val="0"/>
              <w:adjustRightInd w:val="0"/>
              <w:rPr>
                <w:rFonts w:ascii="Arial" w:hAnsi="Arial" w:cs="Arial"/>
              </w:rPr>
            </w:pPr>
            <w:r>
              <w:rPr>
                <w:rFonts w:ascii="Arial" w:hAnsi="Arial" w:cs="Arial"/>
              </w:rPr>
              <w:t>.2957</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74</w:t>
            </w:r>
          </w:p>
        </w:tc>
        <w:tc>
          <w:tcPr>
            <w:tcW w:w="1800" w:type="dxa"/>
          </w:tcPr>
          <w:p w:rsidR="001C0D62" w:rsidRDefault="001C0D62">
            <w:pPr>
              <w:autoSpaceDE w:val="0"/>
              <w:autoSpaceDN w:val="0"/>
              <w:adjustRightInd w:val="0"/>
              <w:rPr>
                <w:rFonts w:ascii="Arial" w:hAnsi="Arial" w:cs="Arial"/>
              </w:rPr>
            </w:pPr>
            <w:r>
              <w:rPr>
                <w:rFonts w:ascii="Arial" w:hAnsi="Arial" w:cs="Arial"/>
              </w:rPr>
              <w:t>.0786</w:t>
            </w:r>
          </w:p>
        </w:tc>
        <w:tc>
          <w:tcPr>
            <w:tcW w:w="1260" w:type="dxa"/>
          </w:tcPr>
          <w:p w:rsidR="001C0D62" w:rsidRDefault="001C0D62">
            <w:pPr>
              <w:autoSpaceDE w:val="0"/>
              <w:autoSpaceDN w:val="0"/>
              <w:adjustRightInd w:val="0"/>
              <w:rPr>
                <w:rFonts w:ascii="Arial" w:hAnsi="Arial" w:cs="Arial"/>
              </w:rPr>
            </w:pPr>
            <w:r>
              <w:rPr>
                <w:rFonts w:ascii="Arial" w:hAnsi="Arial" w:cs="Arial"/>
              </w:rPr>
              <w:t>.1486</w:t>
            </w:r>
          </w:p>
        </w:tc>
        <w:tc>
          <w:tcPr>
            <w:tcW w:w="1260" w:type="dxa"/>
          </w:tcPr>
          <w:p w:rsidR="001C0D62" w:rsidRDefault="001C0D62">
            <w:pPr>
              <w:autoSpaceDE w:val="0"/>
              <w:autoSpaceDN w:val="0"/>
              <w:adjustRightInd w:val="0"/>
              <w:rPr>
                <w:rFonts w:ascii="Arial" w:hAnsi="Arial" w:cs="Arial"/>
              </w:rPr>
            </w:pPr>
            <w:r>
              <w:rPr>
                <w:rFonts w:ascii="Arial" w:hAnsi="Arial" w:cs="Arial"/>
              </w:rPr>
              <w:t>.1901</w:t>
            </w:r>
          </w:p>
        </w:tc>
        <w:tc>
          <w:tcPr>
            <w:tcW w:w="1080" w:type="dxa"/>
          </w:tcPr>
          <w:p w:rsidR="001C0D62" w:rsidRDefault="001C0D62">
            <w:pPr>
              <w:autoSpaceDE w:val="0"/>
              <w:autoSpaceDN w:val="0"/>
              <w:adjustRightInd w:val="0"/>
              <w:rPr>
                <w:rFonts w:ascii="Arial" w:hAnsi="Arial" w:cs="Arial"/>
              </w:rPr>
            </w:pPr>
            <w:r>
              <w:rPr>
                <w:rFonts w:ascii="Arial" w:hAnsi="Arial" w:cs="Arial"/>
              </w:rPr>
              <w:t>.2257</w:t>
            </w:r>
          </w:p>
        </w:tc>
        <w:tc>
          <w:tcPr>
            <w:tcW w:w="1440" w:type="dxa"/>
          </w:tcPr>
          <w:p w:rsidR="001C0D62" w:rsidRDefault="001C0D62">
            <w:pPr>
              <w:autoSpaceDE w:val="0"/>
              <w:autoSpaceDN w:val="0"/>
              <w:adjustRightInd w:val="0"/>
              <w:rPr>
                <w:rFonts w:ascii="Arial" w:hAnsi="Arial" w:cs="Arial"/>
              </w:rPr>
            </w:pPr>
            <w:r>
              <w:rPr>
                <w:rFonts w:ascii="Arial" w:hAnsi="Arial" w:cs="Arial"/>
              </w:rPr>
              <w:t>.2664</w:t>
            </w:r>
          </w:p>
        </w:tc>
        <w:tc>
          <w:tcPr>
            <w:tcW w:w="1260" w:type="dxa"/>
          </w:tcPr>
          <w:p w:rsidR="001C0D62" w:rsidRDefault="001C0D62">
            <w:pPr>
              <w:autoSpaceDE w:val="0"/>
              <w:autoSpaceDN w:val="0"/>
              <w:adjustRightInd w:val="0"/>
              <w:rPr>
                <w:rFonts w:ascii="Arial" w:hAnsi="Arial" w:cs="Arial"/>
              </w:rPr>
            </w:pPr>
            <w:r>
              <w:rPr>
                <w:rFonts w:ascii="Arial" w:hAnsi="Arial" w:cs="Arial"/>
              </w:rPr>
              <w:t>.2938</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75</w:t>
            </w:r>
          </w:p>
        </w:tc>
        <w:tc>
          <w:tcPr>
            <w:tcW w:w="1800" w:type="dxa"/>
          </w:tcPr>
          <w:p w:rsidR="001C0D62" w:rsidRDefault="001C0D62">
            <w:pPr>
              <w:autoSpaceDE w:val="0"/>
              <w:autoSpaceDN w:val="0"/>
              <w:adjustRightInd w:val="0"/>
              <w:rPr>
                <w:rFonts w:ascii="Arial" w:hAnsi="Arial" w:cs="Arial"/>
              </w:rPr>
            </w:pPr>
            <w:r>
              <w:rPr>
                <w:rFonts w:ascii="Arial" w:hAnsi="Arial" w:cs="Arial"/>
              </w:rPr>
              <w:t>.0780</w:t>
            </w:r>
          </w:p>
        </w:tc>
        <w:tc>
          <w:tcPr>
            <w:tcW w:w="1260" w:type="dxa"/>
          </w:tcPr>
          <w:p w:rsidR="001C0D62" w:rsidRDefault="001C0D62">
            <w:pPr>
              <w:autoSpaceDE w:val="0"/>
              <w:autoSpaceDN w:val="0"/>
              <w:adjustRightInd w:val="0"/>
              <w:rPr>
                <w:rFonts w:ascii="Arial" w:hAnsi="Arial" w:cs="Arial"/>
              </w:rPr>
            </w:pPr>
            <w:r>
              <w:rPr>
                <w:rFonts w:ascii="Arial" w:hAnsi="Arial" w:cs="Arial"/>
              </w:rPr>
              <w:t>.1477</w:t>
            </w:r>
          </w:p>
        </w:tc>
        <w:tc>
          <w:tcPr>
            <w:tcW w:w="1260" w:type="dxa"/>
          </w:tcPr>
          <w:p w:rsidR="001C0D62" w:rsidRDefault="001C0D62">
            <w:pPr>
              <w:autoSpaceDE w:val="0"/>
              <w:autoSpaceDN w:val="0"/>
              <w:adjustRightInd w:val="0"/>
              <w:rPr>
                <w:rFonts w:ascii="Arial" w:hAnsi="Arial" w:cs="Arial"/>
              </w:rPr>
            </w:pPr>
            <w:r>
              <w:rPr>
                <w:rFonts w:ascii="Arial" w:hAnsi="Arial" w:cs="Arial"/>
              </w:rPr>
              <w:t>.1888</w:t>
            </w:r>
          </w:p>
        </w:tc>
        <w:tc>
          <w:tcPr>
            <w:tcW w:w="1080" w:type="dxa"/>
          </w:tcPr>
          <w:p w:rsidR="001C0D62" w:rsidRDefault="001C0D62">
            <w:pPr>
              <w:autoSpaceDE w:val="0"/>
              <w:autoSpaceDN w:val="0"/>
              <w:adjustRightInd w:val="0"/>
              <w:rPr>
                <w:rFonts w:ascii="Arial" w:hAnsi="Arial" w:cs="Arial"/>
              </w:rPr>
            </w:pPr>
            <w:r>
              <w:rPr>
                <w:rFonts w:ascii="Arial" w:hAnsi="Arial" w:cs="Arial"/>
              </w:rPr>
              <w:t>.2242</w:t>
            </w:r>
          </w:p>
        </w:tc>
        <w:tc>
          <w:tcPr>
            <w:tcW w:w="1440" w:type="dxa"/>
          </w:tcPr>
          <w:p w:rsidR="001C0D62" w:rsidRDefault="001C0D62">
            <w:pPr>
              <w:autoSpaceDE w:val="0"/>
              <w:autoSpaceDN w:val="0"/>
              <w:adjustRightInd w:val="0"/>
              <w:rPr>
                <w:rFonts w:ascii="Arial" w:hAnsi="Arial" w:cs="Arial"/>
              </w:rPr>
            </w:pPr>
            <w:r>
              <w:rPr>
                <w:rFonts w:ascii="Arial" w:hAnsi="Arial" w:cs="Arial"/>
              </w:rPr>
              <w:t>.2647</w:t>
            </w:r>
          </w:p>
        </w:tc>
        <w:tc>
          <w:tcPr>
            <w:tcW w:w="1260" w:type="dxa"/>
          </w:tcPr>
          <w:p w:rsidR="001C0D62" w:rsidRDefault="001C0D62">
            <w:pPr>
              <w:autoSpaceDE w:val="0"/>
              <w:autoSpaceDN w:val="0"/>
              <w:adjustRightInd w:val="0"/>
              <w:rPr>
                <w:rFonts w:ascii="Arial" w:hAnsi="Arial" w:cs="Arial"/>
              </w:rPr>
            </w:pPr>
            <w:r>
              <w:rPr>
                <w:rFonts w:ascii="Arial" w:hAnsi="Arial" w:cs="Arial"/>
              </w:rPr>
              <w:t>.2919</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76</w:t>
            </w:r>
          </w:p>
        </w:tc>
        <w:tc>
          <w:tcPr>
            <w:tcW w:w="1800" w:type="dxa"/>
          </w:tcPr>
          <w:p w:rsidR="001C0D62" w:rsidRDefault="001C0D62">
            <w:pPr>
              <w:autoSpaceDE w:val="0"/>
              <w:autoSpaceDN w:val="0"/>
              <w:adjustRightInd w:val="0"/>
              <w:rPr>
                <w:rFonts w:ascii="Arial" w:hAnsi="Arial" w:cs="Arial"/>
              </w:rPr>
            </w:pPr>
            <w:r>
              <w:rPr>
                <w:rFonts w:ascii="Arial" w:hAnsi="Arial" w:cs="Arial"/>
              </w:rPr>
              <w:t>.0775</w:t>
            </w:r>
          </w:p>
        </w:tc>
        <w:tc>
          <w:tcPr>
            <w:tcW w:w="1260" w:type="dxa"/>
          </w:tcPr>
          <w:p w:rsidR="001C0D62" w:rsidRDefault="001C0D62">
            <w:pPr>
              <w:autoSpaceDE w:val="0"/>
              <w:autoSpaceDN w:val="0"/>
              <w:adjustRightInd w:val="0"/>
              <w:rPr>
                <w:rFonts w:ascii="Arial" w:hAnsi="Arial" w:cs="Arial"/>
              </w:rPr>
            </w:pPr>
            <w:r>
              <w:rPr>
                <w:rFonts w:ascii="Arial" w:hAnsi="Arial" w:cs="Arial"/>
              </w:rPr>
              <w:t>.1467</w:t>
            </w:r>
          </w:p>
        </w:tc>
        <w:tc>
          <w:tcPr>
            <w:tcW w:w="1260" w:type="dxa"/>
          </w:tcPr>
          <w:p w:rsidR="001C0D62" w:rsidRDefault="001C0D62">
            <w:pPr>
              <w:autoSpaceDE w:val="0"/>
              <w:autoSpaceDN w:val="0"/>
              <w:adjustRightInd w:val="0"/>
              <w:rPr>
                <w:rFonts w:ascii="Arial" w:hAnsi="Arial" w:cs="Arial"/>
              </w:rPr>
            </w:pPr>
            <w:r>
              <w:rPr>
                <w:rFonts w:ascii="Arial" w:hAnsi="Arial" w:cs="Arial"/>
              </w:rPr>
              <w:t>.1876</w:t>
            </w:r>
          </w:p>
        </w:tc>
        <w:tc>
          <w:tcPr>
            <w:tcW w:w="1080" w:type="dxa"/>
          </w:tcPr>
          <w:p w:rsidR="001C0D62" w:rsidRDefault="001C0D62">
            <w:pPr>
              <w:autoSpaceDE w:val="0"/>
              <w:autoSpaceDN w:val="0"/>
              <w:adjustRightInd w:val="0"/>
              <w:rPr>
                <w:rFonts w:ascii="Arial" w:hAnsi="Arial" w:cs="Arial"/>
              </w:rPr>
            </w:pPr>
            <w:r>
              <w:rPr>
                <w:rFonts w:ascii="Arial" w:hAnsi="Arial" w:cs="Arial"/>
              </w:rPr>
              <w:t>.2227</w:t>
            </w:r>
          </w:p>
        </w:tc>
        <w:tc>
          <w:tcPr>
            <w:tcW w:w="1440" w:type="dxa"/>
          </w:tcPr>
          <w:p w:rsidR="001C0D62" w:rsidRDefault="001C0D62">
            <w:pPr>
              <w:autoSpaceDE w:val="0"/>
              <w:autoSpaceDN w:val="0"/>
              <w:adjustRightInd w:val="0"/>
              <w:rPr>
                <w:rFonts w:ascii="Arial" w:hAnsi="Arial" w:cs="Arial"/>
              </w:rPr>
            </w:pPr>
            <w:r>
              <w:rPr>
                <w:rFonts w:ascii="Arial" w:hAnsi="Arial" w:cs="Arial"/>
              </w:rPr>
              <w:t>.2630</w:t>
            </w:r>
          </w:p>
        </w:tc>
        <w:tc>
          <w:tcPr>
            <w:tcW w:w="1260" w:type="dxa"/>
          </w:tcPr>
          <w:p w:rsidR="001C0D62" w:rsidRDefault="001C0D62">
            <w:pPr>
              <w:autoSpaceDE w:val="0"/>
              <w:autoSpaceDN w:val="0"/>
              <w:adjustRightInd w:val="0"/>
              <w:rPr>
                <w:rFonts w:ascii="Arial" w:hAnsi="Arial" w:cs="Arial"/>
              </w:rPr>
            </w:pPr>
            <w:r>
              <w:rPr>
                <w:rFonts w:ascii="Arial" w:hAnsi="Arial" w:cs="Arial"/>
              </w:rPr>
              <w:t>.2900</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77</w:t>
            </w:r>
          </w:p>
        </w:tc>
        <w:tc>
          <w:tcPr>
            <w:tcW w:w="1800" w:type="dxa"/>
          </w:tcPr>
          <w:p w:rsidR="001C0D62" w:rsidRDefault="001C0D62">
            <w:pPr>
              <w:autoSpaceDE w:val="0"/>
              <w:autoSpaceDN w:val="0"/>
              <w:adjustRightInd w:val="0"/>
              <w:rPr>
                <w:rFonts w:ascii="Arial" w:hAnsi="Arial" w:cs="Arial"/>
              </w:rPr>
            </w:pPr>
            <w:r>
              <w:rPr>
                <w:rFonts w:ascii="Arial" w:hAnsi="Arial" w:cs="Arial"/>
              </w:rPr>
              <w:t>.0770</w:t>
            </w:r>
          </w:p>
        </w:tc>
        <w:tc>
          <w:tcPr>
            <w:tcW w:w="1260" w:type="dxa"/>
          </w:tcPr>
          <w:p w:rsidR="001C0D62" w:rsidRDefault="001C0D62">
            <w:pPr>
              <w:autoSpaceDE w:val="0"/>
              <w:autoSpaceDN w:val="0"/>
              <w:adjustRightInd w:val="0"/>
              <w:rPr>
                <w:rFonts w:ascii="Arial" w:hAnsi="Arial" w:cs="Arial"/>
              </w:rPr>
            </w:pPr>
            <w:r>
              <w:rPr>
                <w:rFonts w:ascii="Arial" w:hAnsi="Arial" w:cs="Arial"/>
              </w:rPr>
              <w:t>.1457</w:t>
            </w:r>
          </w:p>
        </w:tc>
        <w:tc>
          <w:tcPr>
            <w:tcW w:w="1260" w:type="dxa"/>
          </w:tcPr>
          <w:p w:rsidR="001C0D62" w:rsidRDefault="001C0D62">
            <w:pPr>
              <w:autoSpaceDE w:val="0"/>
              <w:autoSpaceDN w:val="0"/>
              <w:adjustRightInd w:val="0"/>
              <w:rPr>
                <w:rFonts w:ascii="Arial" w:hAnsi="Arial" w:cs="Arial"/>
              </w:rPr>
            </w:pPr>
            <w:r>
              <w:rPr>
                <w:rFonts w:ascii="Arial" w:hAnsi="Arial" w:cs="Arial"/>
              </w:rPr>
              <w:t>.1864</w:t>
            </w:r>
          </w:p>
        </w:tc>
        <w:tc>
          <w:tcPr>
            <w:tcW w:w="1080" w:type="dxa"/>
          </w:tcPr>
          <w:p w:rsidR="001C0D62" w:rsidRDefault="001C0D62">
            <w:pPr>
              <w:autoSpaceDE w:val="0"/>
              <w:autoSpaceDN w:val="0"/>
              <w:adjustRightInd w:val="0"/>
              <w:rPr>
                <w:rFonts w:ascii="Arial" w:hAnsi="Arial" w:cs="Arial"/>
              </w:rPr>
            </w:pPr>
            <w:r>
              <w:rPr>
                <w:rFonts w:ascii="Arial" w:hAnsi="Arial" w:cs="Arial"/>
              </w:rPr>
              <w:t>.2213</w:t>
            </w:r>
          </w:p>
        </w:tc>
        <w:tc>
          <w:tcPr>
            <w:tcW w:w="1440" w:type="dxa"/>
          </w:tcPr>
          <w:p w:rsidR="001C0D62" w:rsidRDefault="001C0D62">
            <w:pPr>
              <w:autoSpaceDE w:val="0"/>
              <w:autoSpaceDN w:val="0"/>
              <w:adjustRightInd w:val="0"/>
              <w:rPr>
                <w:rFonts w:ascii="Arial" w:hAnsi="Arial" w:cs="Arial"/>
              </w:rPr>
            </w:pPr>
            <w:r>
              <w:rPr>
                <w:rFonts w:ascii="Arial" w:hAnsi="Arial" w:cs="Arial"/>
              </w:rPr>
              <w:t>.2613</w:t>
            </w:r>
          </w:p>
        </w:tc>
        <w:tc>
          <w:tcPr>
            <w:tcW w:w="1260" w:type="dxa"/>
          </w:tcPr>
          <w:p w:rsidR="001C0D62" w:rsidRDefault="001C0D62">
            <w:pPr>
              <w:autoSpaceDE w:val="0"/>
              <w:autoSpaceDN w:val="0"/>
              <w:adjustRightInd w:val="0"/>
              <w:rPr>
                <w:rFonts w:ascii="Arial" w:hAnsi="Arial" w:cs="Arial"/>
              </w:rPr>
            </w:pPr>
            <w:r>
              <w:rPr>
                <w:rFonts w:ascii="Arial" w:hAnsi="Arial" w:cs="Arial"/>
              </w:rPr>
              <w:t>.2882</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78</w:t>
            </w:r>
          </w:p>
        </w:tc>
        <w:tc>
          <w:tcPr>
            <w:tcW w:w="1800" w:type="dxa"/>
          </w:tcPr>
          <w:p w:rsidR="001C0D62" w:rsidRDefault="001C0D62">
            <w:pPr>
              <w:autoSpaceDE w:val="0"/>
              <w:autoSpaceDN w:val="0"/>
              <w:adjustRightInd w:val="0"/>
              <w:rPr>
                <w:rFonts w:ascii="Arial" w:hAnsi="Arial" w:cs="Arial"/>
              </w:rPr>
            </w:pPr>
            <w:r>
              <w:rPr>
                <w:rFonts w:ascii="Arial" w:hAnsi="Arial" w:cs="Arial"/>
              </w:rPr>
              <w:t>.0765</w:t>
            </w:r>
          </w:p>
        </w:tc>
        <w:tc>
          <w:tcPr>
            <w:tcW w:w="1260" w:type="dxa"/>
          </w:tcPr>
          <w:p w:rsidR="001C0D62" w:rsidRDefault="001C0D62">
            <w:pPr>
              <w:autoSpaceDE w:val="0"/>
              <w:autoSpaceDN w:val="0"/>
              <w:adjustRightInd w:val="0"/>
              <w:rPr>
                <w:rFonts w:ascii="Arial" w:hAnsi="Arial" w:cs="Arial"/>
              </w:rPr>
            </w:pPr>
            <w:r>
              <w:rPr>
                <w:rFonts w:ascii="Arial" w:hAnsi="Arial" w:cs="Arial"/>
              </w:rPr>
              <w:t>.1448</w:t>
            </w:r>
          </w:p>
        </w:tc>
        <w:tc>
          <w:tcPr>
            <w:tcW w:w="1260" w:type="dxa"/>
          </w:tcPr>
          <w:p w:rsidR="001C0D62" w:rsidRDefault="001C0D62">
            <w:pPr>
              <w:autoSpaceDE w:val="0"/>
              <w:autoSpaceDN w:val="0"/>
              <w:adjustRightInd w:val="0"/>
              <w:rPr>
                <w:rFonts w:ascii="Arial" w:hAnsi="Arial" w:cs="Arial"/>
              </w:rPr>
            </w:pPr>
            <w:r>
              <w:rPr>
                <w:rFonts w:ascii="Arial" w:hAnsi="Arial" w:cs="Arial"/>
              </w:rPr>
              <w:t>.1852</w:t>
            </w:r>
          </w:p>
        </w:tc>
        <w:tc>
          <w:tcPr>
            <w:tcW w:w="1080" w:type="dxa"/>
          </w:tcPr>
          <w:p w:rsidR="001C0D62" w:rsidRDefault="001C0D62">
            <w:pPr>
              <w:autoSpaceDE w:val="0"/>
              <w:autoSpaceDN w:val="0"/>
              <w:adjustRightInd w:val="0"/>
              <w:rPr>
                <w:rFonts w:ascii="Arial" w:hAnsi="Arial" w:cs="Arial"/>
              </w:rPr>
            </w:pPr>
            <w:r>
              <w:rPr>
                <w:rFonts w:ascii="Arial" w:hAnsi="Arial" w:cs="Arial"/>
              </w:rPr>
              <w:t>.2199</w:t>
            </w:r>
          </w:p>
        </w:tc>
        <w:tc>
          <w:tcPr>
            <w:tcW w:w="1440" w:type="dxa"/>
          </w:tcPr>
          <w:p w:rsidR="001C0D62" w:rsidRDefault="001C0D62">
            <w:pPr>
              <w:autoSpaceDE w:val="0"/>
              <w:autoSpaceDN w:val="0"/>
              <w:adjustRightInd w:val="0"/>
              <w:rPr>
                <w:rFonts w:ascii="Arial" w:hAnsi="Arial" w:cs="Arial"/>
              </w:rPr>
            </w:pPr>
            <w:r>
              <w:rPr>
                <w:rFonts w:ascii="Arial" w:hAnsi="Arial" w:cs="Arial"/>
              </w:rPr>
              <w:t>.2597</w:t>
            </w:r>
          </w:p>
        </w:tc>
        <w:tc>
          <w:tcPr>
            <w:tcW w:w="1260" w:type="dxa"/>
          </w:tcPr>
          <w:p w:rsidR="001C0D62" w:rsidRDefault="001C0D62">
            <w:pPr>
              <w:autoSpaceDE w:val="0"/>
              <w:autoSpaceDN w:val="0"/>
              <w:adjustRightInd w:val="0"/>
              <w:rPr>
                <w:rFonts w:ascii="Arial" w:hAnsi="Arial" w:cs="Arial"/>
              </w:rPr>
            </w:pPr>
            <w:r>
              <w:rPr>
                <w:rFonts w:ascii="Arial" w:hAnsi="Arial" w:cs="Arial"/>
              </w:rPr>
              <w:t>.2864</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79</w:t>
            </w:r>
          </w:p>
        </w:tc>
        <w:tc>
          <w:tcPr>
            <w:tcW w:w="1800" w:type="dxa"/>
          </w:tcPr>
          <w:p w:rsidR="001C0D62" w:rsidRDefault="001C0D62">
            <w:pPr>
              <w:autoSpaceDE w:val="0"/>
              <w:autoSpaceDN w:val="0"/>
              <w:adjustRightInd w:val="0"/>
              <w:rPr>
                <w:rFonts w:ascii="Arial" w:hAnsi="Arial" w:cs="Arial"/>
              </w:rPr>
            </w:pPr>
            <w:r>
              <w:rPr>
                <w:rFonts w:ascii="Arial" w:hAnsi="Arial" w:cs="Arial"/>
              </w:rPr>
              <w:t>.0760</w:t>
            </w:r>
          </w:p>
        </w:tc>
        <w:tc>
          <w:tcPr>
            <w:tcW w:w="1260" w:type="dxa"/>
          </w:tcPr>
          <w:p w:rsidR="001C0D62" w:rsidRDefault="001C0D62">
            <w:pPr>
              <w:autoSpaceDE w:val="0"/>
              <w:autoSpaceDN w:val="0"/>
              <w:adjustRightInd w:val="0"/>
              <w:rPr>
                <w:rFonts w:ascii="Arial" w:hAnsi="Arial" w:cs="Arial"/>
              </w:rPr>
            </w:pPr>
            <w:r>
              <w:rPr>
                <w:rFonts w:ascii="Arial" w:hAnsi="Arial" w:cs="Arial"/>
              </w:rPr>
              <w:t>.1439</w:t>
            </w:r>
          </w:p>
        </w:tc>
        <w:tc>
          <w:tcPr>
            <w:tcW w:w="1260" w:type="dxa"/>
          </w:tcPr>
          <w:p w:rsidR="001C0D62" w:rsidRDefault="001C0D62">
            <w:pPr>
              <w:autoSpaceDE w:val="0"/>
              <w:autoSpaceDN w:val="0"/>
              <w:adjustRightInd w:val="0"/>
              <w:rPr>
                <w:rFonts w:ascii="Arial" w:hAnsi="Arial" w:cs="Arial"/>
              </w:rPr>
            </w:pPr>
            <w:r>
              <w:rPr>
                <w:rFonts w:ascii="Arial" w:hAnsi="Arial" w:cs="Arial"/>
              </w:rPr>
              <w:t>.1841</w:t>
            </w:r>
          </w:p>
        </w:tc>
        <w:tc>
          <w:tcPr>
            <w:tcW w:w="1080" w:type="dxa"/>
          </w:tcPr>
          <w:p w:rsidR="001C0D62" w:rsidRDefault="001C0D62">
            <w:pPr>
              <w:autoSpaceDE w:val="0"/>
              <w:autoSpaceDN w:val="0"/>
              <w:adjustRightInd w:val="0"/>
              <w:rPr>
                <w:rFonts w:ascii="Arial" w:hAnsi="Arial" w:cs="Arial"/>
              </w:rPr>
            </w:pPr>
            <w:r>
              <w:rPr>
                <w:rFonts w:ascii="Arial" w:hAnsi="Arial" w:cs="Arial"/>
              </w:rPr>
              <w:t>.2185</w:t>
            </w:r>
          </w:p>
        </w:tc>
        <w:tc>
          <w:tcPr>
            <w:tcW w:w="1440" w:type="dxa"/>
          </w:tcPr>
          <w:p w:rsidR="001C0D62" w:rsidRDefault="001C0D62">
            <w:pPr>
              <w:autoSpaceDE w:val="0"/>
              <w:autoSpaceDN w:val="0"/>
              <w:adjustRightInd w:val="0"/>
              <w:rPr>
                <w:rFonts w:ascii="Arial" w:hAnsi="Arial" w:cs="Arial"/>
              </w:rPr>
            </w:pPr>
            <w:r>
              <w:rPr>
                <w:rFonts w:ascii="Arial" w:hAnsi="Arial" w:cs="Arial"/>
              </w:rPr>
              <w:t>.2581</w:t>
            </w:r>
          </w:p>
        </w:tc>
        <w:tc>
          <w:tcPr>
            <w:tcW w:w="1260" w:type="dxa"/>
          </w:tcPr>
          <w:p w:rsidR="001C0D62" w:rsidRDefault="001C0D62">
            <w:pPr>
              <w:autoSpaceDE w:val="0"/>
              <w:autoSpaceDN w:val="0"/>
              <w:adjustRightInd w:val="0"/>
              <w:rPr>
                <w:rFonts w:ascii="Arial" w:hAnsi="Arial" w:cs="Arial"/>
              </w:rPr>
            </w:pPr>
            <w:r>
              <w:rPr>
                <w:rFonts w:ascii="Arial" w:hAnsi="Arial" w:cs="Arial"/>
              </w:rPr>
              <w:t>.2847</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80</w:t>
            </w:r>
          </w:p>
        </w:tc>
        <w:tc>
          <w:tcPr>
            <w:tcW w:w="1800" w:type="dxa"/>
          </w:tcPr>
          <w:p w:rsidR="001C0D62" w:rsidRDefault="001C0D62">
            <w:pPr>
              <w:autoSpaceDE w:val="0"/>
              <w:autoSpaceDN w:val="0"/>
              <w:adjustRightInd w:val="0"/>
              <w:rPr>
                <w:rFonts w:ascii="Arial" w:hAnsi="Arial" w:cs="Arial"/>
              </w:rPr>
            </w:pPr>
            <w:r>
              <w:rPr>
                <w:rFonts w:ascii="Arial" w:hAnsi="Arial" w:cs="Arial"/>
              </w:rPr>
              <w:t>.0755</w:t>
            </w:r>
          </w:p>
        </w:tc>
        <w:tc>
          <w:tcPr>
            <w:tcW w:w="1260" w:type="dxa"/>
          </w:tcPr>
          <w:p w:rsidR="001C0D62" w:rsidRDefault="001C0D62">
            <w:pPr>
              <w:autoSpaceDE w:val="0"/>
              <w:autoSpaceDN w:val="0"/>
              <w:adjustRightInd w:val="0"/>
              <w:rPr>
                <w:rFonts w:ascii="Arial" w:hAnsi="Arial" w:cs="Arial"/>
              </w:rPr>
            </w:pPr>
            <w:r>
              <w:rPr>
                <w:rFonts w:ascii="Arial" w:hAnsi="Arial" w:cs="Arial"/>
              </w:rPr>
              <w:t>.1430</w:t>
            </w:r>
          </w:p>
        </w:tc>
        <w:tc>
          <w:tcPr>
            <w:tcW w:w="1260" w:type="dxa"/>
          </w:tcPr>
          <w:p w:rsidR="001C0D62" w:rsidRDefault="001C0D62">
            <w:pPr>
              <w:autoSpaceDE w:val="0"/>
              <w:autoSpaceDN w:val="0"/>
              <w:adjustRightInd w:val="0"/>
              <w:rPr>
                <w:rFonts w:ascii="Arial" w:hAnsi="Arial" w:cs="Arial"/>
              </w:rPr>
            </w:pPr>
            <w:r>
              <w:rPr>
                <w:rFonts w:ascii="Arial" w:hAnsi="Arial" w:cs="Arial"/>
              </w:rPr>
              <w:t>.1829</w:t>
            </w:r>
          </w:p>
        </w:tc>
        <w:tc>
          <w:tcPr>
            <w:tcW w:w="1080" w:type="dxa"/>
          </w:tcPr>
          <w:p w:rsidR="001C0D62" w:rsidRDefault="001C0D62">
            <w:pPr>
              <w:autoSpaceDE w:val="0"/>
              <w:autoSpaceDN w:val="0"/>
              <w:adjustRightInd w:val="0"/>
              <w:rPr>
                <w:rFonts w:ascii="Arial" w:hAnsi="Arial" w:cs="Arial"/>
              </w:rPr>
            </w:pPr>
            <w:r>
              <w:rPr>
                <w:rFonts w:ascii="Arial" w:hAnsi="Arial" w:cs="Arial"/>
              </w:rPr>
              <w:t>.2172</w:t>
            </w:r>
          </w:p>
        </w:tc>
        <w:tc>
          <w:tcPr>
            <w:tcW w:w="1440" w:type="dxa"/>
          </w:tcPr>
          <w:p w:rsidR="001C0D62" w:rsidRDefault="001C0D62">
            <w:pPr>
              <w:autoSpaceDE w:val="0"/>
              <w:autoSpaceDN w:val="0"/>
              <w:adjustRightInd w:val="0"/>
              <w:rPr>
                <w:rFonts w:ascii="Arial" w:hAnsi="Arial" w:cs="Arial"/>
              </w:rPr>
            </w:pPr>
            <w:r>
              <w:rPr>
                <w:rFonts w:ascii="Arial" w:hAnsi="Arial" w:cs="Arial"/>
              </w:rPr>
              <w:t>.2565</w:t>
            </w:r>
          </w:p>
        </w:tc>
        <w:tc>
          <w:tcPr>
            <w:tcW w:w="1260" w:type="dxa"/>
          </w:tcPr>
          <w:p w:rsidR="001C0D62" w:rsidRDefault="001C0D62">
            <w:pPr>
              <w:autoSpaceDE w:val="0"/>
              <w:autoSpaceDN w:val="0"/>
              <w:adjustRightInd w:val="0"/>
              <w:rPr>
                <w:rFonts w:ascii="Arial" w:hAnsi="Arial" w:cs="Arial"/>
              </w:rPr>
            </w:pPr>
            <w:r>
              <w:rPr>
                <w:rFonts w:ascii="Arial" w:hAnsi="Arial" w:cs="Arial"/>
              </w:rPr>
              <w:t>.2830</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81</w:t>
            </w:r>
          </w:p>
        </w:tc>
        <w:tc>
          <w:tcPr>
            <w:tcW w:w="1800" w:type="dxa"/>
          </w:tcPr>
          <w:p w:rsidR="001C0D62" w:rsidRDefault="001C0D62">
            <w:pPr>
              <w:autoSpaceDE w:val="0"/>
              <w:autoSpaceDN w:val="0"/>
              <w:adjustRightInd w:val="0"/>
              <w:rPr>
                <w:rFonts w:ascii="Arial" w:hAnsi="Arial" w:cs="Arial"/>
              </w:rPr>
            </w:pPr>
            <w:r>
              <w:rPr>
                <w:rFonts w:ascii="Arial" w:hAnsi="Arial" w:cs="Arial"/>
              </w:rPr>
              <w:t>.0751</w:t>
            </w:r>
          </w:p>
        </w:tc>
        <w:tc>
          <w:tcPr>
            <w:tcW w:w="1260" w:type="dxa"/>
          </w:tcPr>
          <w:p w:rsidR="001C0D62" w:rsidRDefault="001C0D62">
            <w:pPr>
              <w:autoSpaceDE w:val="0"/>
              <w:autoSpaceDN w:val="0"/>
              <w:adjustRightInd w:val="0"/>
              <w:rPr>
                <w:rFonts w:ascii="Arial" w:hAnsi="Arial" w:cs="Arial"/>
              </w:rPr>
            </w:pPr>
            <w:r>
              <w:rPr>
                <w:rFonts w:ascii="Arial" w:hAnsi="Arial" w:cs="Arial"/>
              </w:rPr>
              <w:t>.1421</w:t>
            </w:r>
          </w:p>
        </w:tc>
        <w:tc>
          <w:tcPr>
            <w:tcW w:w="1260" w:type="dxa"/>
          </w:tcPr>
          <w:p w:rsidR="001C0D62" w:rsidRDefault="001C0D62">
            <w:pPr>
              <w:autoSpaceDE w:val="0"/>
              <w:autoSpaceDN w:val="0"/>
              <w:adjustRightInd w:val="0"/>
              <w:rPr>
                <w:rFonts w:ascii="Arial" w:hAnsi="Arial" w:cs="Arial"/>
              </w:rPr>
            </w:pPr>
            <w:r>
              <w:rPr>
                <w:rFonts w:ascii="Arial" w:hAnsi="Arial" w:cs="Arial"/>
              </w:rPr>
              <w:t>.1818</w:t>
            </w:r>
          </w:p>
        </w:tc>
        <w:tc>
          <w:tcPr>
            <w:tcW w:w="1080" w:type="dxa"/>
          </w:tcPr>
          <w:p w:rsidR="001C0D62" w:rsidRDefault="001C0D62">
            <w:pPr>
              <w:autoSpaceDE w:val="0"/>
              <w:autoSpaceDN w:val="0"/>
              <w:adjustRightInd w:val="0"/>
              <w:rPr>
                <w:rFonts w:ascii="Arial" w:hAnsi="Arial" w:cs="Arial"/>
              </w:rPr>
            </w:pPr>
            <w:r>
              <w:rPr>
                <w:rFonts w:ascii="Arial" w:hAnsi="Arial" w:cs="Arial"/>
              </w:rPr>
              <w:t>.2159</w:t>
            </w:r>
          </w:p>
        </w:tc>
        <w:tc>
          <w:tcPr>
            <w:tcW w:w="1440" w:type="dxa"/>
          </w:tcPr>
          <w:p w:rsidR="001C0D62" w:rsidRDefault="001C0D62">
            <w:pPr>
              <w:autoSpaceDE w:val="0"/>
              <w:autoSpaceDN w:val="0"/>
              <w:adjustRightInd w:val="0"/>
              <w:rPr>
                <w:rFonts w:ascii="Arial" w:hAnsi="Arial" w:cs="Arial"/>
              </w:rPr>
            </w:pPr>
            <w:r>
              <w:rPr>
                <w:rFonts w:ascii="Arial" w:hAnsi="Arial" w:cs="Arial"/>
              </w:rPr>
              <w:t>.2550</w:t>
            </w:r>
          </w:p>
        </w:tc>
        <w:tc>
          <w:tcPr>
            <w:tcW w:w="1260" w:type="dxa"/>
          </w:tcPr>
          <w:p w:rsidR="001C0D62" w:rsidRDefault="001C0D62">
            <w:pPr>
              <w:autoSpaceDE w:val="0"/>
              <w:autoSpaceDN w:val="0"/>
              <w:adjustRightInd w:val="0"/>
              <w:rPr>
                <w:rFonts w:ascii="Arial" w:hAnsi="Arial" w:cs="Arial"/>
              </w:rPr>
            </w:pPr>
            <w:r>
              <w:rPr>
                <w:rFonts w:ascii="Arial" w:hAnsi="Arial" w:cs="Arial"/>
              </w:rPr>
              <w:t>.2813</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82</w:t>
            </w:r>
          </w:p>
        </w:tc>
        <w:tc>
          <w:tcPr>
            <w:tcW w:w="1800" w:type="dxa"/>
          </w:tcPr>
          <w:p w:rsidR="001C0D62" w:rsidRDefault="001C0D62">
            <w:pPr>
              <w:autoSpaceDE w:val="0"/>
              <w:autoSpaceDN w:val="0"/>
              <w:adjustRightInd w:val="0"/>
              <w:rPr>
                <w:rFonts w:ascii="Arial" w:hAnsi="Arial" w:cs="Arial"/>
              </w:rPr>
            </w:pPr>
            <w:r>
              <w:rPr>
                <w:rFonts w:ascii="Arial" w:hAnsi="Arial" w:cs="Arial"/>
              </w:rPr>
              <w:t>.0746</w:t>
            </w:r>
          </w:p>
        </w:tc>
        <w:tc>
          <w:tcPr>
            <w:tcW w:w="1260" w:type="dxa"/>
          </w:tcPr>
          <w:p w:rsidR="001C0D62" w:rsidRDefault="001C0D62">
            <w:pPr>
              <w:autoSpaceDE w:val="0"/>
              <w:autoSpaceDN w:val="0"/>
              <w:adjustRightInd w:val="0"/>
              <w:rPr>
                <w:rFonts w:ascii="Arial" w:hAnsi="Arial" w:cs="Arial"/>
              </w:rPr>
            </w:pPr>
            <w:r>
              <w:rPr>
                <w:rFonts w:ascii="Arial" w:hAnsi="Arial" w:cs="Arial"/>
              </w:rPr>
              <w:t>.1412</w:t>
            </w:r>
          </w:p>
        </w:tc>
        <w:tc>
          <w:tcPr>
            <w:tcW w:w="1260" w:type="dxa"/>
          </w:tcPr>
          <w:p w:rsidR="001C0D62" w:rsidRDefault="001C0D62">
            <w:pPr>
              <w:autoSpaceDE w:val="0"/>
              <w:autoSpaceDN w:val="0"/>
              <w:adjustRightInd w:val="0"/>
              <w:rPr>
                <w:rFonts w:ascii="Arial" w:hAnsi="Arial" w:cs="Arial"/>
              </w:rPr>
            </w:pPr>
            <w:r>
              <w:rPr>
                <w:rFonts w:ascii="Arial" w:hAnsi="Arial" w:cs="Arial"/>
              </w:rPr>
              <w:t>.1807</w:t>
            </w:r>
          </w:p>
        </w:tc>
        <w:tc>
          <w:tcPr>
            <w:tcW w:w="1080" w:type="dxa"/>
          </w:tcPr>
          <w:p w:rsidR="001C0D62" w:rsidRDefault="001C0D62">
            <w:pPr>
              <w:autoSpaceDE w:val="0"/>
              <w:autoSpaceDN w:val="0"/>
              <w:adjustRightInd w:val="0"/>
              <w:rPr>
                <w:rFonts w:ascii="Arial" w:hAnsi="Arial" w:cs="Arial"/>
              </w:rPr>
            </w:pPr>
            <w:r>
              <w:rPr>
                <w:rFonts w:ascii="Arial" w:hAnsi="Arial" w:cs="Arial"/>
              </w:rPr>
              <w:t>.2146</w:t>
            </w:r>
          </w:p>
        </w:tc>
        <w:tc>
          <w:tcPr>
            <w:tcW w:w="1440" w:type="dxa"/>
          </w:tcPr>
          <w:p w:rsidR="001C0D62" w:rsidRDefault="001C0D62">
            <w:pPr>
              <w:autoSpaceDE w:val="0"/>
              <w:autoSpaceDN w:val="0"/>
              <w:adjustRightInd w:val="0"/>
              <w:rPr>
                <w:rFonts w:ascii="Arial" w:hAnsi="Arial" w:cs="Arial"/>
              </w:rPr>
            </w:pPr>
            <w:r>
              <w:rPr>
                <w:rFonts w:ascii="Arial" w:hAnsi="Arial" w:cs="Arial"/>
              </w:rPr>
              <w:t>.2535</w:t>
            </w:r>
          </w:p>
        </w:tc>
        <w:tc>
          <w:tcPr>
            <w:tcW w:w="1260" w:type="dxa"/>
          </w:tcPr>
          <w:p w:rsidR="001C0D62" w:rsidRDefault="001C0D62">
            <w:pPr>
              <w:autoSpaceDE w:val="0"/>
              <w:autoSpaceDN w:val="0"/>
              <w:adjustRightInd w:val="0"/>
              <w:rPr>
                <w:rFonts w:ascii="Arial" w:hAnsi="Arial" w:cs="Arial"/>
              </w:rPr>
            </w:pPr>
            <w:r>
              <w:rPr>
                <w:rFonts w:ascii="Arial" w:hAnsi="Arial" w:cs="Arial"/>
              </w:rPr>
              <w:t>.2796</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83</w:t>
            </w:r>
          </w:p>
        </w:tc>
        <w:tc>
          <w:tcPr>
            <w:tcW w:w="1800" w:type="dxa"/>
          </w:tcPr>
          <w:p w:rsidR="001C0D62" w:rsidRDefault="001C0D62">
            <w:pPr>
              <w:autoSpaceDE w:val="0"/>
              <w:autoSpaceDN w:val="0"/>
              <w:adjustRightInd w:val="0"/>
              <w:rPr>
                <w:rFonts w:ascii="Arial" w:hAnsi="Arial" w:cs="Arial"/>
              </w:rPr>
            </w:pPr>
            <w:r>
              <w:rPr>
                <w:rFonts w:ascii="Arial" w:hAnsi="Arial" w:cs="Arial"/>
              </w:rPr>
              <w:t>.0742</w:t>
            </w:r>
          </w:p>
        </w:tc>
        <w:tc>
          <w:tcPr>
            <w:tcW w:w="1260" w:type="dxa"/>
          </w:tcPr>
          <w:p w:rsidR="001C0D62" w:rsidRDefault="001C0D62">
            <w:pPr>
              <w:autoSpaceDE w:val="0"/>
              <w:autoSpaceDN w:val="0"/>
              <w:adjustRightInd w:val="0"/>
              <w:rPr>
                <w:rFonts w:ascii="Arial" w:hAnsi="Arial" w:cs="Arial"/>
              </w:rPr>
            </w:pPr>
            <w:r>
              <w:rPr>
                <w:rFonts w:ascii="Arial" w:hAnsi="Arial" w:cs="Arial"/>
              </w:rPr>
              <w:t>.1404</w:t>
            </w:r>
          </w:p>
        </w:tc>
        <w:tc>
          <w:tcPr>
            <w:tcW w:w="1260" w:type="dxa"/>
          </w:tcPr>
          <w:p w:rsidR="001C0D62" w:rsidRDefault="001C0D62">
            <w:pPr>
              <w:autoSpaceDE w:val="0"/>
              <w:autoSpaceDN w:val="0"/>
              <w:adjustRightInd w:val="0"/>
              <w:rPr>
                <w:rFonts w:ascii="Arial" w:hAnsi="Arial" w:cs="Arial"/>
              </w:rPr>
            </w:pPr>
            <w:r>
              <w:rPr>
                <w:rFonts w:ascii="Arial" w:hAnsi="Arial" w:cs="Arial"/>
              </w:rPr>
              <w:t>.1796</w:t>
            </w:r>
          </w:p>
        </w:tc>
        <w:tc>
          <w:tcPr>
            <w:tcW w:w="1080" w:type="dxa"/>
          </w:tcPr>
          <w:p w:rsidR="001C0D62" w:rsidRDefault="001C0D62">
            <w:pPr>
              <w:autoSpaceDE w:val="0"/>
              <w:autoSpaceDN w:val="0"/>
              <w:adjustRightInd w:val="0"/>
              <w:rPr>
                <w:rFonts w:ascii="Arial" w:hAnsi="Arial" w:cs="Arial"/>
              </w:rPr>
            </w:pPr>
            <w:r>
              <w:rPr>
                <w:rFonts w:ascii="Arial" w:hAnsi="Arial" w:cs="Arial"/>
              </w:rPr>
              <w:t>.2133</w:t>
            </w:r>
          </w:p>
        </w:tc>
        <w:tc>
          <w:tcPr>
            <w:tcW w:w="1440" w:type="dxa"/>
          </w:tcPr>
          <w:p w:rsidR="001C0D62" w:rsidRDefault="001C0D62">
            <w:pPr>
              <w:autoSpaceDE w:val="0"/>
              <w:autoSpaceDN w:val="0"/>
              <w:adjustRightInd w:val="0"/>
              <w:rPr>
                <w:rFonts w:ascii="Arial" w:hAnsi="Arial" w:cs="Arial"/>
              </w:rPr>
            </w:pPr>
            <w:r>
              <w:rPr>
                <w:rFonts w:ascii="Arial" w:hAnsi="Arial" w:cs="Arial"/>
              </w:rPr>
              <w:t>.2520</w:t>
            </w:r>
          </w:p>
        </w:tc>
        <w:tc>
          <w:tcPr>
            <w:tcW w:w="1260" w:type="dxa"/>
          </w:tcPr>
          <w:p w:rsidR="001C0D62" w:rsidRDefault="001C0D62">
            <w:pPr>
              <w:autoSpaceDE w:val="0"/>
              <w:autoSpaceDN w:val="0"/>
              <w:adjustRightInd w:val="0"/>
              <w:rPr>
                <w:rFonts w:ascii="Arial" w:hAnsi="Arial" w:cs="Arial"/>
              </w:rPr>
            </w:pPr>
            <w:r>
              <w:rPr>
                <w:rFonts w:ascii="Arial" w:hAnsi="Arial" w:cs="Arial"/>
              </w:rPr>
              <w:t>.2780</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84</w:t>
            </w:r>
          </w:p>
        </w:tc>
        <w:tc>
          <w:tcPr>
            <w:tcW w:w="1800" w:type="dxa"/>
          </w:tcPr>
          <w:p w:rsidR="001C0D62" w:rsidRDefault="001C0D62">
            <w:pPr>
              <w:autoSpaceDE w:val="0"/>
              <w:autoSpaceDN w:val="0"/>
              <w:adjustRightInd w:val="0"/>
              <w:rPr>
                <w:rFonts w:ascii="Arial" w:hAnsi="Arial" w:cs="Arial"/>
              </w:rPr>
            </w:pPr>
            <w:r>
              <w:rPr>
                <w:rFonts w:ascii="Arial" w:hAnsi="Arial" w:cs="Arial"/>
              </w:rPr>
              <w:t>.0737</w:t>
            </w:r>
          </w:p>
        </w:tc>
        <w:tc>
          <w:tcPr>
            <w:tcW w:w="1260" w:type="dxa"/>
          </w:tcPr>
          <w:p w:rsidR="001C0D62" w:rsidRDefault="001C0D62">
            <w:pPr>
              <w:autoSpaceDE w:val="0"/>
              <w:autoSpaceDN w:val="0"/>
              <w:adjustRightInd w:val="0"/>
              <w:rPr>
                <w:rFonts w:ascii="Arial" w:hAnsi="Arial" w:cs="Arial"/>
              </w:rPr>
            </w:pPr>
            <w:r>
              <w:rPr>
                <w:rFonts w:ascii="Arial" w:hAnsi="Arial" w:cs="Arial"/>
              </w:rPr>
              <w:t>.1396</w:t>
            </w:r>
          </w:p>
        </w:tc>
        <w:tc>
          <w:tcPr>
            <w:tcW w:w="1260" w:type="dxa"/>
          </w:tcPr>
          <w:p w:rsidR="001C0D62" w:rsidRDefault="001C0D62">
            <w:pPr>
              <w:autoSpaceDE w:val="0"/>
              <w:autoSpaceDN w:val="0"/>
              <w:adjustRightInd w:val="0"/>
              <w:rPr>
                <w:rFonts w:ascii="Arial" w:hAnsi="Arial" w:cs="Arial"/>
              </w:rPr>
            </w:pPr>
            <w:r>
              <w:rPr>
                <w:rFonts w:ascii="Arial" w:hAnsi="Arial" w:cs="Arial"/>
              </w:rPr>
              <w:t>.1786</w:t>
            </w:r>
          </w:p>
        </w:tc>
        <w:tc>
          <w:tcPr>
            <w:tcW w:w="1080" w:type="dxa"/>
          </w:tcPr>
          <w:p w:rsidR="001C0D62" w:rsidRDefault="001C0D62">
            <w:pPr>
              <w:autoSpaceDE w:val="0"/>
              <w:autoSpaceDN w:val="0"/>
              <w:adjustRightInd w:val="0"/>
              <w:rPr>
                <w:rFonts w:ascii="Arial" w:hAnsi="Arial" w:cs="Arial"/>
              </w:rPr>
            </w:pPr>
            <w:r>
              <w:rPr>
                <w:rFonts w:ascii="Arial" w:hAnsi="Arial" w:cs="Arial"/>
              </w:rPr>
              <w:t>.2120</w:t>
            </w:r>
          </w:p>
        </w:tc>
        <w:tc>
          <w:tcPr>
            <w:tcW w:w="1440" w:type="dxa"/>
          </w:tcPr>
          <w:p w:rsidR="001C0D62" w:rsidRDefault="001C0D62">
            <w:pPr>
              <w:autoSpaceDE w:val="0"/>
              <w:autoSpaceDN w:val="0"/>
              <w:adjustRightInd w:val="0"/>
              <w:rPr>
                <w:rFonts w:ascii="Arial" w:hAnsi="Arial" w:cs="Arial"/>
              </w:rPr>
            </w:pPr>
            <w:r>
              <w:rPr>
                <w:rFonts w:ascii="Arial" w:hAnsi="Arial" w:cs="Arial"/>
              </w:rPr>
              <w:t>.2505</w:t>
            </w:r>
          </w:p>
        </w:tc>
        <w:tc>
          <w:tcPr>
            <w:tcW w:w="1260" w:type="dxa"/>
          </w:tcPr>
          <w:p w:rsidR="001C0D62" w:rsidRDefault="001C0D62">
            <w:pPr>
              <w:autoSpaceDE w:val="0"/>
              <w:autoSpaceDN w:val="0"/>
              <w:adjustRightInd w:val="0"/>
              <w:rPr>
                <w:rFonts w:ascii="Arial" w:hAnsi="Arial" w:cs="Arial"/>
              </w:rPr>
            </w:pPr>
            <w:r>
              <w:rPr>
                <w:rFonts w:ascii="Arial" w:hAnsi="Arial" w:cs="Arial"/>
              </w:rPr>
              <w:t>.2764</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85</w:t>
            </w:r>
          </w:p>
        </w:tc>
        <w:tc>
          <w:tcPr>
            <w:tcW w:w="1800" w:type="dxa"/>
          </w:tcPr>
          <w:p w:rsidR="001C0D62" w:rsidRDefault="001C0D62">
            <w:pPr>
              <w:autoSpaceDE w:val="0"/>
              <w:autoSpaceDN w:val="0"/>
              <w:adjustRightInd w:val="0"/>
              <w:rPr>
                <w:rFonts w:ascii="Arial" w:hAnsi="Arial" w:cs="Arial"/>
              </w:rPr>
            </w:pPr>
            <w:r>
              <w:rPr>
                <w:rFonts w:ascii="Arial" w:hAnsi="Arial" w:cs="Arial"/>
              </w:rPr>
              <w:t>.0733</w:t>
            </w:r>
          </w:p>
        </w:tc>
        <w:tc>
          <w:tcPr>
            <w:tcW w:w="1260" w:type="dxa"/>
          </w:tcPr>
          <w:p w:rsidR="001C0D62" w:rsidRDefault="001C0D62">
            <w:pPr>
              <w:autoSpaceDE w:val="0"/>
              <w:autoSpaceDN w:val="0"/>
              <w:adjustRightInd w:val="0"/>
              <w:rPr>
                <w:rFonts w:ascii="Arial" w:hAnsi="Arial" w:cs="Arial"/>
              </w:rPr>
            </w:pPr>
            <w:r>
              <w:rPr>
                <w:rFonts w:ascii="Arial" w:hAnsi="Arial" w:cs="Arial"/>
              </w:rPr>
              <w:t>.1387</w:t>
            </w:r>
          </w:p>
        </w:tc>
        <w:tc>
          <w:tcPr>
            <w:tcW w:w="1260" w:type="dxa"/>
          </w:tcPr>
          <w:p w:rsidR="001C0D62" w:rsidRDefault="001C0D62">
            <w:pPr>
              <w:autoSpaceDE w:val="0"/>
              <w:autoSpaceDN w:val="0"/>
              <w:adjustRightInd w:val="0"/>
              <w:rPr>
                <w:rFonts w:ascii="Arial" w:hAnsi="Arial" w:cs="Arial"/>
              </w:rPr>
            </w:pPr>
            <w:r>
              <w:rPr>
                <w:rFonts w:ascii="Arial" w:hAnsi="Arial" w:cs="Arial"/>
              </w:rPr>
              <w:t>.1775</w:t>
            </w:r>
          </w:p>
        </w:tc>
        <w:tc>
          <w:tcPr>
            <w:tcW w:w="1080" w:type="dxa"/>
          </w:tcPr>
          <w:p w:rsidR="001C0D62" w:rsidRDefault="001C0D62">
            <w:pPr>
              <w:autoSpaceDE w:val="0"/>
              <w:autoSpaceDN w:val="0"/>
              <w:adjustRightInd w:val="0"/>
              <w:rPr>
                <w:rFonts w:ascii="Arial" w:hAnsi="Arial" w:cs="Arial"/>
              </w:rPr>
            </w:pPr>
            <w:r>
              <w:rPr>
                <w:rFonts w:ascii="Arial" w:hAnsi="Arial" w:cs="Arial"/>
              </w:rPr>
              <w:t>.2108</w:t>
            </w:r>
          </w:p>
        </w:tc>
        <w:tc>
          <w:tcPr>
            <w:tcW w:w="1440" w:type="dxa"/>
          </w:tcPr>
          <w:p w:rsidR="001C0D62" w:rsidRDefault="001C0D62">
            <w:pPr>
              <w:autoSpaceDE w:val="0"/>
              <w:autoSpaceDN w:val="0"/>
              <w:adjustRightInd w:val="0"/>
              <w:rPr>
                <w:rFonts w:ascii="Arial" w:hAnsi="Arial" w:cs="Arial"/>
              </w:rPr>
            </w:pPr>
            <w:r>
              <w:rPr>
                <w:rFonts w:ascii="Arial" w:hAnsi="Arial" w:cs="Arial"/>
              </w:rPr>
              <w:t>.2491</w:t>
            </w:r>
          </w:p>
        </w:tc>
        <w:tc>
          <w:tcPr>
            <w:tcW w:w="1260" w:type="dxa"/>
          </w:tcPr>
          <w:p w:rsidR="001C0D62" w:rsidRDefault="001C0D62">
            <w:pPr>
              <w:autoSpaceDE w:val="0"/>
              <w:autoSpaceDN w:val="0"/>
              <w:adjustRightInd w:val="0"/>
              <w:rPr>
                <w:rFonts w:ascii="Arial" w:hAnsi="Arial" w:cs="Arial"/>
              </w:rPr>
            </w:pPr>
            <w:r>
              <w:rPr>
                <w:rFonts w:ascii="Arial" w:hAnsi="Arial" w:cs="Arial"/>
              </w:rPr>
              <w:t>.2748</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86</w:t>
            </w:r>
          </w:p>
        </w:tc>
        <w:tc>
          <w:tcPr>
            <w:tcW w:w="1800" w:type="dxa"/>
          </w:tcPr>
          <w:p w:rsidR="001C0D62" w:rsidRDefault="001C0D62">
            <w:pPr>
              <w:autoSpaceDE w:val="0"/>
              <w:autoSpaceDN w:val="0"/>
              <w:adjustRightInd w:val="0"/>
              <w:rPr>
                <w:rFonts w:ascii="Arial" w:hAnsi="Arial" w:cs="Arial"/>
              </w:rPr>
            </w:pPr>
            <w:r>
              <w:rPr>
                <w:rFonts w:ascii="Arial" w:hAnsi="Arial" w:cs="Arial"/>
              </w:rPr>
              <w:t>.0728</w:t>
            </w:r>
          </w:p>
        </w:tc>
        <w:tc>
          <w:tcPr>
            <w:tcW w:w="1260" w:type="dxa"/>
          </w:tcPr>
          <w:p w:rsidR="001C0D62" w:rsidRDefault="001C0D62">
            <w:pPr>
              <w:autoSpaceDE w:val="0"/>
              <w:autoSpaceDN w:val="0"/>
              <w:adjustRightInd w:val="0"/>
              <w:rPr>
                <w:rFonts w:ascii="Arial" w:hAnsi="Arial" w:cs="Arial"/>
              </w:rPr>
            </w:pPr>
            <w:r>
              <w:rPr>
                <w:rFonts w:ascii="Arial" w:hAnsi="Arial" w:cs="Arial"/>
              </w:rPr>
              <w:t>.1379</w:t>
            </w:r>
          </w:p>
        </w:tc>
        <w:tc>
          <w:tcPr>
            <w:tcW w:w="1260" w:type="dxa"/>
          </w:tcPr>
          <w:p w:rsidR="001C0D62" w:rsidRDefault="001C0D62">
            <w:pPr>
              <w:autoSpaceDE w:val="0"/>
              <w:autoSpaceDN w:val="0"/>
              <w:adjustRightInd w:val="0"/>
              <w:rPr>
                <w:rFonts w:ascii="Arial" w:hAnsi="Arial" w:cs="Arial"/>
              </w:rPr>
            </w:pPr>
            <w:r>
              <w:rPr>
                <w:rFonts w:ascii="Arial" w:hAnsi="Arial" w:cs="Arial"/>
              </w:rPr>
              <w:t>.1765</w:t>
            </w:r>
          </w:p>
        </w:tc>
        <w:tc>
          <w:tcPr>
            <w:tcW w:w="1080" w:type="dxa"/>
          </w:tcPr>
          <w:p w:rsidR="001C0D62" w:rsidRDefault="001C0D62">
            <w:pPr>
              <w:autoSpaceDE w:val="0"/>
              <w:autoSpaceDN w:val="0"/>
              <w:adjustRightInd w:val="0"/>
              <w:rPr>
                <w:rFonts w:ascii="Arial" w:hAnsi="Arial" w:cs="Arial"/>
              </w:rPr>
            </w:pPr>
            <w:r>
              <w:rPr>
                <w:rFonts w:ascii="Arial" w:hAnsi="Arial" w:cs="Arial"/>
              </w:rPr>
              <w:t>.2096</w:t>
            </w:r>
          </w:p>
        </w:tc>
        <w:tc>
          <w:tcPr>
            <w:tcW w:w="1440" w:type="dxa"/>
          </w:tcPr>
          <w:p w:rsidR="001C0D62" w:rsidRDefault="001C0D62">
            <w:pPr>
              <w:autoSpaceDE w:val="0"/>
              <w:autoSpaceDN w:val="0"/>
              <w:adjustRightInd w:val="0"/>
              <w:rPr>
                <w:rFonts w:ascii="Arial" w:hAnsi="Arial" w:cs="Arial"/>
              </w:rPr>
            </w:pPr>
            <w:r>
              <w:rPr>
                <w:rFonts w:ascii="Arial" w:hAnsi="Arial" w:cs="Arial"/>
              </w:rPr>
              <w:t>.2477</w:t>
            </w:r>
          </w:p>
        </w:tc>
        <w:tc>
          <w:tcPr>
            <w:tcW w:w="1260" w:type="dxa"/>
          </w:tcPr>
          <w:p w:rsidR="001C0D62" w:rsidRDefault="001C0D62">
            <w:pPr>
              <w:autoSpaceDE w:val="0"/>
              <w:autoSpaceDN w:val="0"/>
              <w:adjustRightInd w:val="0"/>
              <w:rPr>
                <w:rFonts w:ascii="Arial" w:hAnsi="Arial" w:cs="Arial"/>
              </w:rPr>
            </w:pPr>
            <w:r>
              <w:rPr>
                <w:rFonts w:ascii="Arial" w:hAnsi="Arial" w:cs="Arial"/>
              </w:rPr>
              <w:t>.2732</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87</w:t>
            </w:r>
          </w:p>
        </w:tc>
        <w:tc>
          <w:tcPr>
            <w:tcW w:w="1800" w:type="dxa"/>
          </w:tcPr>
          <w:p w:rsidR="001C0D62" w:rsidRDefault="001C0D62">
            <w:pPr>
              <w:autoSpaceDE w:val="0"/>
              <w:autoSpaceDN w:val="0"/>
              <w:adjustRightInd w:val="0"/>
              <w:rPr>
                <w:rFonts w:ascii="Arial" w:hAnsi="Arial" w:cs="Arial"/>
              </w:rPr>
            </w:pPr>
            <w:r>
              <w:rPr>
                <w:rFonts w:ascii="Arial" w:hAnsi="Arial" w:cs="Arial"/>
              </w:rPr>
              <w:t>.0724</w:t>
            </w:r>
          </w:p>
        </w:tc>
        <w:tc>
          <w:tcPr>
            <w:tcW w:w="1260" w:type="dxa"/>
          </w:tcPr>
          <w:p w:rsidR="001C0D62" w:rsidRDefault="001C0D62">
            <w:pPr>
              <w:autoSpaceDE w:val="0"/>
              <w:autoSpaceDN w:val="0"/>
              <w:adjustRightInd w:val="0"/>
              <w:rPr>
                <w:rFonts w:ascii="Arial" w:hAnsi="Arial" w:cs="Arial"/>
              </w:rPr>
            </w:pPr>
            <w:r>
              <w:rPr>
                <w:rFonts w:ascii="Arial" w:hAnsi="Arial" w:cs="Arial"/>
              </w:rPr>
              <w:t>.1371</w:t>
            </w:r>
          </w:p>
        </w:tc>
        <w:tc>
          <w:tcPr>
            <w:tcW w:w="1260" w:type="dxa"/>
          </w:tcPr>
          <w:p w:rsidR="001C0D62" w:rsidRDefault="001C0D62">
            <w:pPr>
              <w:autoSpaceDE w:val="0"/>
              <w:autoSpaceDN w:val="0"/>
              <w:adjustRightInd w:val="0"/>
              <w:rPr>
                <w:rFonts w:ascii="Arial" w:hAnsi="Arial" w:cs="Arial"/>
              </w:rPr>
            </w:pPr>
            <w:r>
              <w:rPr>
                <w:rFonts w:ascii="Arial" w:hAnsi="Arial" w:cs="Arial"/>
              </w:rPr>
              <w:t>.1755</w:t>
            </w:r>
          </w:p>
        </w:tc>
        <w:tc>
          <w:tcPr>
            <w:tcW w:w="1080" w:type="dxa"/>
          </w:tcPr>
          <w:p w:rsidR="001C0D62" w:rsidRDefault="001C0D62">
            <w:pPr>
              <w:autoSpaceDE w:val="0"/>
              <w:autoSpaceDN w:val="0"/>
              <w:adjustRightInd w:val="0"/>
              <w:rPr>
                <w:rFonts w:ascii="Arial" w:hAnsi="Arial" w:cs="Arial"/>
              </w:rPr>
            </w:pPr>
            <w:r>
              <w:rPr>
                <w:rFonts w:ascii="Arial" w:hAnsi="Arial" w:cs="Arial"/>
              </w:rPr>
              <w:t>.2084</w:t>
            </w:r>
          </w:p>
        </w:tc>
        <w:tc>
          <w:tcPr>
            <w:tcW w:w="1440" w:type="dxa"/>
          </w:tcPr>
          <w:p w:rsidR="001C0D62" w:rsidRDefault="001C0D62">
            <w:pPr>
              <w:autoSpaceDE w:val="0"/>
              <w:autoSpaceDN w:val="0"/>
              <w:adjustRightInd w:val="0"/>
              <w:rPr>
                <w:rFonts w:ascii="Arial" w:hAnsi="Arial" w:cs="Arial"/>
              </w:rPr>
            </w:pPr>
            <w:r>
              <w:rPr>
                <w:rFonts w:ascii="Arial" w:hAnsi="Arial" w:cs="Arial"/>
              </w:rPr>
              <w:t>.2463</w:t>
            </w:r>
          </w:p>
        </w:tc>
        <w:tc>
          <w:tcPr>
            <w:tcW w:w="1260" w:type="dxa"/>
          </w:tcPr>
          <w:p w:rsidR="001C0D62" w:rsidRDefault="001C0D62">
            <w:pPr>
              <w:autoSpaceDE w:val="0"/>
              <w:autoSpaceDN w:val="0"/>
              <w:adjustRightInd w:val="0"/>
              <w:rPr>
                <w:rFonts w:ascii="Arial" w:hAnsi="Arial" w:cs="Arial"/>
              </w:rPr>
            </w:pPr>
            <w:r>
              <w:rPr>
                <w:rFonts w:ascii="Arial" w:hAnsi="Arial" w:cs="Arial"/>
              </w:rPr>
              <w:t>.2717</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88</w:t>
            </w:r>
          </w:p>
        </w:tc>
        <w:tc>
          <w:tcPr>
            <w:tcW w:w="1800" w:type="dxa"/>
          </w:tcPr>
          <w:p w:rsidR="001C0D62" w:rsidRDefault="001C0D62">
            <w:pPr>
              <w:autoSpaceDE w:val="0"/>
              <w:autoSpaceDN w:val="0"/>
              <w:adjustRightInd w:val="0"/>
              <w:rPr>
                <w:rFonts w:ascii="Arial" w:hAnsi="Arial" w:cs="Arial"/>
              </w:rPr>
            </w:pPr>
            <w:r>
              <w:rPr>
                <w:rFonts w:ascii="Arial" w:hAnsi="Arial" w:cs="Arial"/>
              </w:rPr>
              <w:t>.0720</w:t>
            </w:r>
          </w:p>
        </w:tc>
        <w:tc>
          <w:tcPr>
            <w:tcW w:w="1260" w:type="dxa"/>
          </w:tcPr>
          <w:p w:rsidR="001C0D62" w:rsidRDefault="001C0D62">
            <w:pPr>
              <w:autoSpaceDE w:val="0"/>
              <w:autoSpaceDN w:val="0"/>
              <w:adjustRightInd w:val="0"/>
              <w:rPr>
                <w:rFonts w:ascii="Arial" w:hAnsi="Arial" w:cs="Arial"/>
              </w:rPr>
            </w:pPr>
            <w:r>
              <w:rPr>
                <w:rFonts w:ascii="Arial" w:hAnsi="Arial" w:cs="Arial"/>
              </w:rPr>
              <w:t>.1364</w:t>
            </w:r>
          </w:p>
        </w:tc>
        <w:tc>
          <w:tcPr>
            <w:tcW w:w="1260" w:type="dxa"/>
          </w:tcPr>
          <w:p w:rsidR="001C0D62" w:rsidRDefault="001C0D62">
            <w:pPr>
              <w:autoSpaceDE w:val="0"/>
              <w:autoSpaceDN w:val="0"/>
              <w:adjustRightInd w:val="0"/>
              <w:rPr>
                <w:rFonts w:ascii="Arial" w:hAnsi="Arial" w:cs="Arial"/>
              </w:rPr>
            </w:pPr>
            <w:r>
              <w:rPr>
                <w:rFonts w:ascii="Arial" w:hAnsi="Arial" w:cs="Arial"/>
              </w:rPr>
              <w:t>.1745</w:t>
            </w:r>
          </w:p>
        </w:tc>
        <w:tc>
          <w:tcPr>
            <w:tcW w:w="1080" w:type="dxa"/>
          </w:tcPr>
          <w:p w:rsidR="001C0D62" w:rsidRDefault="001C0D62">
            <w:pPr>
              <w:autoSpaceDE w:val="0"/>
              <w:autoSpaceDN w:val="0"/>
              <w:adjustRightInd w:val="0"/>
              <w:rPr>
                <w:rFonts w:ascii="Arial" w:hAnsi="Arial" w:cs="Arial"/>
              </w:rPr>
            </w:pPr>
            <w:r>
              <w:rPr>
                <w:rFonts w:ascii="Arial" w:hAnsi="Arial" w:cs="Arial"/>
              </w:rPr>
              <w:t>.2072</w:t>
            </w:r>
          </w:p>
        </w:tc>
        <w:tc>
          <w:tcPr>
            <w:tcW w:w="1440" w:type="dxa"/>
          </w:tcPr>
          <w:p w:rsidR="001C0D62" w:rsidRDefault="001C0D62">
            <w:pPr>
              <w:autoSpaceDE w:val="0"/>
              <w:autoSpaceDN w:val="0"/>
              <w:adjustRightInd w:val="0"/>
              <w:rPr>
                <w:rFonts w:ascii="Arial" w:hAnsi="Arial" w:cs="Arial"/>
              </w:rPr>
            </w:pPr>
            <w:r>
              <w:rPr>
                <w:rFonts w:ascii="Arial" w:hAnsi="Arial" w:cs="Arial"/>
              </w:rPr>
              <w:t>.2449</w:t>
            </w:r>
          </w:p>
        </w:tc>
        <w:tc>
          <w:tcPr>
            <w:tcW w:w="1260" w:type="dxa"/>
          </w:tcPr>
          <w:p w:rsidR="001C0D62" w:rsidRDefault="001C0D62">
            <w:pPr>
              <w:autoSpaceDE w:val="0"/>
              <w:autoSpaceDN w:val="0"/>
              <w:adjustRightInd w:val="0"/>
              <w:rPr>
                <w:rFonts w:ascii="Arial" w:hAnsi="Arial" w:cs="Arial"/>
              </w:rPr>
            </w:pPr>
            <w:r>
              <w:rPr>
                <w:rFonts w:ascii="Arial" w:hAnsi="Arial" w:cs="Arial"/>
              </w:rPr>
              <w:t>.2702</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89</w:t>
            </w:r>
          </w:p>
        </w:tc>
        <w:tc>
          <w:tcPr>
            <w:tcW w:w="1800" w:type="dxa"/>
          </w:tcPr>
          <w:p w:rsidR="001C0D62" w:rsidRDefault="001C0D62">
            <w:pPr>
              <w:autoSpaceDE w:val="0"/>
              <w:autoSpaceDN w:val="0"/>
              <w:adjustRightInd w:val="0"/>
              <w:rPr>
                <w:rFonts w:ascii="Arial" w:hAnsi="Arial" w:cs="Arial"/>
              </w:rPr>
            </w:pPr>
            <w:r>
              <w:rPr>
                <w:rFonts w:ascii="Arial" w:hAnsi="Arial" w:cs="Arial"/>
              </w:rPr>
              <w:t>.0716</w:t>
            </w:r>
          </w:p>
        </w:tc>
        <w:tc>
          <w:tcPr>
            <w:tcW w:w="1260" w:type="dxa"/>
          </w:tcPr>
          <w:p w:rsidR="001C0D62" w:rsidRDefault="001C0D62">
            <w:pPr>
              <w:autoSpaceDE w:val="0"/>
              <w:autoSpaceDN w:val="0"/>
              <w:adjustRightInd w:val="0"/>
              <w:rPr>
                <w:rFonts w:ascii="Arial" w:hAnsi="Arial" w:cs="Arial"/>
              </w:rPr>
            </w:pPr>
            <w:r>
              <w:rPr>
                <w:rFonts w:ascii="Arial" w:hAnsi="Arial" w:cs="Arial"/>
              </w:rPr>
              <w:t>.1356</w:t>
            </w:r>
          </w:p>
        </w:tc>
        <w:tc>
          <w:tcPr>
            <w:tcW w:w="1260" w:type="dxa"/>
          </w:tcPr>
          <w:p w:rsidR="001C0D62" w:rsidRDefault="001C0D62">
            <w:pPr>
              <w:autoSpaceDE w:val="0"/>
              <w:autoSpaceDN w:val="0"/>
              <w:adjustRightInd w:val="0"/>
              <w:rPr>
                <w:rFonts w:ascii="Arial" w:hAnsi="Arial" w:cs="Arial"/>
              </w:rPr>
            </w:pPr>
            <w:r>
              <w:rPr>
                <w:rFonts w:ascii="Arial" w:hAnsi="Arial" w:cs="Arial"/>
              </w:rPr>
              <w:t>.1735</w:t>
            </w:r>
          </w:p>
        </w:tc>
        <w:tc>
          <w:tcPr>
            <w:tcW w:w="1080" w:type="dxa"/>
          </w:tcPr>
          <w:p w:rsidR="001C0D62" w:rsidRDefault="001C0D62">
            <w:pPr>
              <w:autoSpaceDE w:val="0"/>
              <w:autoSpaceDN w:val="0"/>
              <w:adjustRightInd w:val="0"/>
              <w:rPr>
                <w:rFonts w:ascii="Arial" w:hAnsi="Arial" w:cs="Arial"/>
              </w:rPr>
            </w:pPr>
            <w:r>
              <w:rPr>
                <w:rFonts w:ascii="Arial" w:hAnsi="Arial" w:cs="Arial"/>
              </w:rPr>
              <w:t>.2061</w:t>
            </w:r>
          </w:p>
        </w:tc>
        <w:tc>
          <w:tcPr>
            <w:tcW w:w="1440" w:type="dxa"/>
          </w:tcPr>
          <w:p w:rsidR="001C0D62" w:rsidRDefault="001C0D62">
            <w:pPr>
              <w:autoSpaceDE w:val="0"/>
              <w:autoSpaceDN w:val="0"/>
              <w:adjustRightInd w:val="0"/>
              <w:rPr>
                <w:rFonts w:ascii="Arial" w:hAnsi="Arial" w:cs="Arial"/>
              </w:rPr>
            </w:pPr>
            <w:r>
              <w:rPr>
                <w:rFonts w:ascii="Arial" w:hAnsi="Arial" w:cs="Arial"/>
              </w:rPr>
              <w:t>.2435</w:t>
            </w:r>
          </w:p>
        </w:tc>
        <w:tc>
          <w:tcPr>
            <w:tcW w:w="1260" w:type="dxa"/>
          </w:tcPr>
          <w:p w:rsidR="001C0D62" w:rsidRDefault="001C0D62">
            <w:pPr>
              <w:autoSpaceDE w:val="0"/>
              <w:autoSpaceDN w:val="0"/>
              <w:adjustRightInd w:val="0"/>
              <w:rPr>
                <w:rFonts w:ascii="Arial" w:hAnsi="Arial" w:cs="Arial"/>
              </w:rPr>
            </w:pPr>
            <w:r>
              <w:rPr>
                <w:rFonts w:ascii="Arial" w:hAnsi="Arial" w:cs="Arial"/>
              </w:rPr>
              <w:t>.2687</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90</w:t>
            </w:r>
          </w:p>
        </w:tc>
        <w:tc>
          <w:tcPr>
            <w:tcW w:w="1800" w:type="dxa"/>
          </w:tcPr>
          <w:p w:rsidR="001C0D62" w:rsidRDefault="001C0D62">
            <w:pPr>
              <w:autoSpaceDE w:val="0"/>
              <w:autoSpaceDN w:val="0"/>
              <w:adjustRightInd w:val="0"/>
              <w:rPr>
                <w:rFonts w:ascii="Arial" w:hAnsi="Arial" w:cs="Arial"/>
              </w:rPr>
            </w:pPr>
            <w:r>
              <w:rPr>
                <w:rFonts w:ascii="Arial" w:hAnsi="Arial" w:cs="Arial"/>
              </w:rPr>
              <w:t>.0712</w:t>
            </w:r>
          </w:p>
        </w:tc>
        <w:tc>
          <w:tcPr>
            <w:tcW w:w="1260" w:type="dxa"/>
          </w:tcPr>
          <w:p w:rsidR="001C0D62" w:rsidRDefault="001C0D62">
            <w:pPr>
              <w:autoSpaceDE w:val="0"/>
              <w:autoSpaceDN w:val="0"/>
              <w:adjustRightInd w:val="0"/>
              <w:rPr>
                <w:rFonts w:ascii="Arial" w:hAnsi="Arial" w:cs="Arial"/>
              </w:rPr>
            </w:pPr>
            <w:r>
              <w:rPr>
                <w:rFonts w:ascii="Arial" w:hAnsi="Arial" w:cs="Arial"/>
              </w:rPr>
              <w:t>.1348</w:t>
            </w:r>
          </w:p>
        </w:tc>
        <w:tc>
          <w:tcPr>
            <w:tcW w:w="1260" w:type="dxa"/>
          </w:tcPr>
          <w:p w:rsidR="001C0D62" w:rsidRDefault="001C0D62">
            <w:pPr>
              <w:autoSpaceDE w:val="0"/>
              <w:autoSpaceDN w:val="0"/>
              <w:adjustRightInd w:val="0"/>
              <w:rPr>
                <w:rFonts w:ascii="Arial" w:hAnsi="Arial" w:cs="Arial"/>
              </w:rPr>
            </w:pPr>
            <w:r>
              <w:rPr>
                <w:rFonts w:ascii="Arial" w:hAnsi="Arial" w:cs="Arial"/>
              </w:rPr>
              <w:t>.1726</w:t>
            </w:r>
          </w:p>
        </w:tc>
        <w:tc>
          <w:tcPr>
            <w:tcW w:w="1080" w:type="dxa"/>
          </w:tcPr>
          <w:p w:rsidR="001C0D62" w:rsidRDefault="001C0D62">
            <w:pPr>
              <w:autoSpaceDE w:val="0"/>
              <w:autoSpaceDN w:val="0"/>
              <w:adjustRightInd w:val="0"/>
              <w:rPr>
                <w:rFonts w:ascii="Arial" w:hAnsi="Arial" w:cs="Arial"/>
              </w:rPr>
            </w:pPr>
            <w:r>
              <w:rPr>
                <w:rFonts w:ascii="Arial" w:hAnsi="Arial" w:cs="Arial"/>
              </w:rPr>
              <w:t>.2050</w:t>
            </w:r>
          </w:p>
        </w:tc>
        <w:tc>
          <w:tcPr>
            <w:tcW w:w="1440" w:type="dxa"/>
          </w:tcPr>
          <w:p w:rsidR="001C0D62" w:rsidRDefault="001C0D62">
            <w:pPr>
              <w:autoSpaceDE w:val="0"/>
              <w:autoSpaceDN w:val="0"/>
              <w:adjustRightInd w:val="0"/>
              <w:rPr>
                <w:rFonts w:ascii="Arial" w:hAnsi="Arial" w:cs="Arial"/>
              </w:rPr>
            </w:pPr>
            <w:r>
              <w:rPr>
                <w:rFonts w:ascii="Arial" w:hAnsi="Arial" w:cs="Arial"/>
              </w:rPr>
              <w:t>.2422</w:t>
            </w:r>
          </w:p>
        </w:tc>
        <w:tc>
          <w:tcPr>
            <w:tcW w:w="1260" w:type="dxa"/>
          </w:tcPr>
          <w:p w:rsidR="001C0D62" w:rsidRDefault="001C0D62">
            <w:pPr>
              <w:autoSpaceDE w:val="0"/>
              <w:autoSpaceDN w:val="0"/>
              <w:adjustRightInd w:val="0"/>
              <w:rPr>
                <w:rFonts w:ascii="Arial" w:hAnsi="Arial" w:cs="Arial"/>
              </w:rPr>
            </w:pPr>
            <w:r>
              <w:rPr>
                <w:rFonts w:ascii="Arial" w:hAnsi="Arial" w:cs="Arial"/>
              </w:rPr>
              <w:t>.2673</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91</w:t>
            </w:r>
          </w:p>
        </w:tc>
        <w:tc>
          <w:tcPr>
            <w:tcW w:w="1800" w:type="dxa"/>
          </w:tcPr>
          <w:p w:rsidR="001C0D62" w:rsidRDefault="001C0D62">
            <w:pPr>
              <w:autoSpaceDE w:val="0"/>
              <w:autoSpaceDN w:val="0"/>
              <w:adjustRightInd w:val="0"/>
              <w:rPr>
                <w:rFonts w:ascii="Arial" w:hAnsi="Arial" w:cs="Arial"/>
              </w:rPr>
            </w:pPr>
            <w:r>
              <w:rPr>
                <w:rFonts w:ascii="Arial" w:hAnsi="Arial" w:cs="Arial"/>
              </w:rPr>
              <w:t>.0708</w:t>
            </w:r>
          </w:p>
        </w:tc>
        <w:tc>
          <w:tcPr>
            <w:tcW w:w="1260" w:type="dxa"/>
          </w:tcPr>
          <w:p w:rsidR="001C0D62" w:rsidRDefault="001C0D62">
            <w:pPr>
              <w:autoSpaceDE w:val="0"/>
              <w:autoSpaceDN w:val="0"/>
              <w:adjustRightInd w:val="0"/>
              <w:rPr>
                <w:rFonts w:ascii="Arial" w:hAnsi="Arial" w:cs="Arial"/>
              </w:rPr>
            </w:pPr>
            <w:r>
              <w:rPr>
                <w:rFonts w:ascii="Arial" w:hAnsi="Arial" w:cs="Arial"/>
              </w:rPr>
              <w:t>.1341</w:t>
            </w:r>
          </w:p>
        </w:tc>
        <w:tc>
          <w:tcPr>
            <w:tcW w:w="1260" w:type="dxa"/>
          </w:tcPr>
          <w:p w:rsidR="001C0D62" w:rsidRDefault="001C0D62">
            <w:pPr>
              <w:autoSpaceDE w:val="0"/>
              <w:autoSpaceDN w:val="0"/>
              <w:adjustRightInd w:val="0"/>
              <w:rPr>
                <w:rFonts w:ascii="Arial" w:hAnsi="Arial" w:cs="Arial"/>
              </w:rPr>
            </w:pPr>
            <w:r>
              <w:rPr>
                <w:rFonts w:ascii="Arial" w:hAnsi="Arial" w:cs="Arial"/>
              </w:rPr>
              <w:t>.1716</w:t>
            </w:r>
          </w:p>
        </w:tc>
        <w:tc>
          <w:tcPr>
            <w:tcW w:w="1080" w:type="dxa"/>
          </w:tcPr>
          <w:p w:rsidR="001C0D62" w:rsidRDefault="001C0D62">
            <w:pPr>
              <w:autoSpaceDE w:val="0"/>
              <w:autoSpaceDN w:val="0"/>
              <w:adjustRightInd w:val="0"/>
              <w:rPr>
                <w:rFonts w:ascii="Arial" w:hAnsi="Arial" w:cs="Arial"/>
              </w:rPr>
            </w:pPr>
            <w:r>
              <w:rPr>
                <w:rFonts w:ascii="Arial" w:hAnsi="Arial" w:cs="Arial"/>
              </w:rPr>
              <w:t>.2039</w:t>
            </w:r>
          </w:p>
        </w:tc>
        <w:tc>
          <w:tcPr>
            <w:tcW w:w="1440" w:type="dxa"/>
          </w:tcPr>
          <w:p w:rsidR="001C0D62" w:rsidRDefault="001C0D62">
            <w:pPr>
              <w:autoSpaceDE w:val="0"/>
              <w:autoSpaceDN w:val="0"/>
              <w:adjustRightInd w:val="0"/>
              <w:rPr>
                <w:rFonts w:ascii="Arial" w:hAnsi="Arial" w:cs="Arial"/>
              </w:rPr>
            </w:pPr>
            <w:r>
              <w:rPr>
                <w:rFonts w:ascii="Arial" w:hAnsi="Arial" w:cs="Arial"/>
              </w:rPr>
              <w:t>.2409</w:t>
            </w:r>
          </w:p>
        </w:tc>
        <w:tc>
          <w:tcPr>
            <w:tcW w:w="1260" w:type="dxa"/>
          </w:tcPr>
          <w:p w:rsidR="001C0D62" w:rsidRDefault="001C0D62">
            <w:pPr>
              <w:autoSpaceDE w:val="0"/>
              <w:autoSpaceDN w:val="0"/>
              <w:adjustRightInd w:val="0"/>
              <w:rPr>
                <w:rFonts w:ascii="Arial" w:hAnsi="Arial" w:cs="Arial"/>
              </w:rPr>
            </w:pPr>
            <w:r>
              <w:rPr>
                <w:rFonts w:ascii="Arial" w:hAnsi="Arial" w:cs="Arial"/>
              </w:rPr>
              <w:t>.2659</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92</w:t>
            </w:r>
          </w:p>
        </w:tc>
        <w:tc>
          <w:tcPr>
            <w:tcW w:w="1800" w:type="dxa"/>
          </w:tcPr>
          <w:p w:rsidR="001C0D62" w:rsidRDefault="001C0D62">
            <w:pPr>
              <w:autoSpaceDE w:val="0"/>
              <w:autoSpaceDN w:val="0"/>
              <w:adjustRightInd w:val="0"/>
              <w:rPr>
                <w:rFonts w:ascii="Arial" w:hAnsi="Arial" w:cs="Arial"/>
              </w:rPr>
            </w:pPr>
            <w:r>
              <w:rPr>
                <w:rFonts w:ascii="Arial" w:hAnsi="Arial" w:cs="Arial"/>
              </w:rPr>
              <w:t>.0704</w:t>
            </w:r>
          </w:p>
        </w:tc>
        <w:tc>
          <w:tcPr>
            <w:tcW w:w="1260" w:type="dxa"/>
          </w:tcPr>
          <w:p w:rsidR="001C0D62" w:rsidRDefault="001C0D62">
            <w:pPr>
              <w:autoSpaceDE w:val="0"/>
              <w:autoSpaceDN w:val="0"/>
              <w:adjustRightInd w:val="0"/>
              <w:rPr>
                <w:rFonts w:ascii="Arial" w:hAnsi="Arial" w:cs="Arial"/>
              </w:rPr>
            </w:pPr>
            <w:r>
              <w:rPr>
                <w:rFonts w:ascii="Arial" w:hAnsi="Arial" w:cs="Arial"/>
              </w:rPr>
              <w:t>.1334</w:t>
            </w:r>
          </w:p>
        </w:tc>
        <w:tc>
          <w:tcPr>
            <w:tcW w:w="1260" w:type="dxa"/>
          </w:tcPr>
          <w:p w:rsidR="001C0D62" w:rsidRDefault="001C0D62">
            <w:pPr>
              <w:autoSpaceDE w:val="0"/>
              <w:autoSpaceDN w:val="0"/>
              <w:adjustRightInd w:val="0"/>
              <w:rPr>
                <w:rFonts w:ascii="Arial" w:hAnsi="Arial" w:cs="Arial"/>
              </w:rPr>
            </w:pPr>
            <w:r>
              <w:rPr>
                <w:rFonts w:ascii="Arial" w:hAnsi="Arial" w:cs="Arial"/>
              </w:rPr>
              <w:t>.1707</w:t>
            </w:r>
          </w:p>
        </w:tc>
        <w:tc>
          <w:tcPr>
            <w:tcW w:w="1080" w:type="dxa"/>
          </w:tcPr>
          <w:p w:rsidR="001C0D62" w:rsidRDefault="001C0D62">
            <w:pPr>
              <w:autoSpaceDE w:val="0"/>
              <w:autoSpaceDN w:val="0"/>
              <w:adjustRightInd w:val="0"/>
              <w:rPr>
                <w:rFonts w:ascii="Arial" w:hAnsi="Arial" w:cs="Arial"/>
              </w:rPr>
            </w:pPr>
            <w:r>
              <w:rPr>
                <w:rFonts w:ascii="Arial" w:hAnsi="Arial" w:cs="Arial"/>
              </w:rPr>
              <w:t>.2028</w:t>
            </w:r>
          </w:p>
        </w:tc>
        <w:tc>
          <w:tcPr>
            <w:tcW w:w="1440" w:type="dxa"/>
          </w:tcPr>
          <w:p w:rsidR="001C0D62" w:rsidRDefault="001C0D62">
            <w:pPr>
              <w:autoSpaceDE w:val="0"/>
              <w:autoSpaceDN w:val="0"/>
              <w:adjustRightInd w:val="0"/>
              <w:rPr>
                <w:rFonts w:ascii="Arial" w:hAnsi="Arial" w:cs="Arial"/>
              </w:rPr>
            </w:pPr>
            <w:r>
              <w:rPr>
                <w:rFonts w:ascii="Arial" w:hAnsi="Arial" w:cs="Arial"/>
              </w:rPr>
              <w:t>.2396</w:t>
            </w:r>
          </w:p>
        </w:tc>
        <w:tc>
          <w:tcPr>
            <w:tcW w:w="1260" w:type="dxa"/>
          </w:tcPr>
          <w:p w:rsidR="001C0D62" w:rsidRDefault="001C0D62">
            <w:pPr>
              <w:autoSpaceDE w:val="0"/>
              <w:autoSpaceDN w:val="0"/>
              <w:adjustRightInd w:val="0"/>
              <w:rPr>
                <w:rFonts w:ascii="Arial" w:hAnsi="Arial" w:cs="Arial"/>
              </w:rPr>
            </w:pPr>
            <w:r>
              <w:rPr>
                <w:rFonts w:ascii="Arial" w:hAnsi="Arial" w:cs="Arial"/>
              </w:rPr>
              <w:t>.2645</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93</w:t>
            </w:r>
          </w:p>
        </w:tc>
        <w:tc>
          <w:tcPr>
            <w:tcW w:w="1800" w:type="dxa"/>
          </w:tcPr>
          <w:p w:rsidR="001C0D62" w:rsidRDefault="001C0D62">
            <w:pPr>
              <w:autoSpaceDE w:val="0"/>
              <w:autoSpaceDN w:val="0"/>
              <w:adjustRightInd w:val="0"/>
              <w:rPr>
                <w:rFonts w:ascii="Arial" w:hAnsi="Arial" w:cs="Arial"/>
              </w:rPr>
            </w:pPr>
            <w:r>
              <w:rPr>
                <w:rFonts w:ascii="Arial" w:hAnsi="Arial" w:cs="Arial"/>
              </w:rPr>
              <w:t>.0700</w:t>
            </w:r>
          </w:p>
        </w:tc>
        <w:tc>
          <w:tcPr>
            <w:tcW w:w="1260" w:type="dxa"/>
          </w:tcPr>
          <w:p w:rsidR="001C0D62" w:rsidRDefault="001C0D62">
            <w:pPr>
              <w:autoSpaceDE w:val="0"/>
              <w:autoSpaceDN w:val="0"/>
              <w:adjustRightInd w:val="0"/>
              <w:rPr>
                <w:rFonts w:ascii="Arial" w:hAnsi="Arial" w:cs="Arial"/>
              </w:rPr>
            </w:pPr>
            <w:r>
              <w:rPr>
                <w:rFonts w:ascii="Arial" w:hAnsi="Arial" w:cs="Arial"/>
              </w:rPr>
              <w:t>.1327</w:t>
            </w:r>
          </w:p>
        </w:tc>
        <w:tc>
          <w:tcPr>
            <w:tcW w:w="1260" w:type="dxa"/>
          </w:tcPr>
          <w:p w:rsidR="001C0D62" w:rsidRDefault="001C0D62">
            <w:pPr>
              <w:autoSpaceDE w:val="0"/>
              <w:autoSpaceDN w:val="0"/>
              <w:adjustRightInd w:val="0"/>
              <w:rPr>
                <w:rFonts w:ascii="Arial" w:hAnsi="Arial" w:cs="Arial"/>
              </w:rPr>
            </w:pPr>
            <w:r>
              <w:rPr>
                <w:rFonts w:ascii="Arial" w:hAnsi="Arial" w:cs="Arial"/>
              </w:rPr>
              <w:t>.1698</w:t>
            </w:r>
          </w:p>
        </w:tc>
        <w:tc>
          <w:tcPr>
            <w:tcW w:w="1080" w:type="dxa"/>
          </w:tcPr>
          <w:p w:rsidR="001C0D62" w:rsidRDefault="001C0D62">
            <w:pPr>
              <w:autoSpaceDE w:val="0"/>
              <w:autoSpaceDN w:val="0"/>
              <w:adjustRightInd w:val="0"/>
              <w:rPr>
                <w:rFonts w:ascii="Arial" w:hAnsi="Arial" w:cs="Arial"/>
              </w:rPr>
            </w:pPr>
            <w:r>
              <w:rPr>
                <w:rFonts w:ascii="Arial" w:hAnsi="Arial" w:cs="Arial"/>
              </w:rPr>
              <w:t>.2017</w:t>
            </w:r>
          </w:p>
        </w:tc>
        <w:tc>
          <w:tcPr>
            <w:tcW w:w="1440" w:type="dxa"/>
          </w:tcPr>
          <w:p w:rsidR="001C0D62" w:rsidRDefault="001C0D62">
            <w:pPr>
              <w:autoSpaceDE w:val="0"/>
              <w:autoSpaceDN w:val="0"/>
              <w:adjustRightInd w:val="0"/>
              <w:rPr>
                <w:rFonts w:ascii="Arial" w:hAnsi="Arial" w:cs="Arial"/>
              </w:rPr>
            </w:pPr>
            <w:r>
              <w:rPr>
                <w:rFonts w:ascii="Arial" w:hAnsi="Arial" w:cs="Arial"/>
              </w:rPr>
              <w:t>.2384</w:t>
            </w:r>
          </w:p>
        </w:tc>
        <w:tc>
          <w:tcPr>
            <w:tcW w:w="1260" w:type="dxa"/>
          </w:tcPr>
          <w:p w:rsidR="001C0D62" w:rsidRDefault="001C0D62">
            <w:pPr>
              <w:autoSpaceDE w:val="0"/>
              <w:autoSpaceDN w:val="0"/>
              <w:adjustRightInd w:val="0"/>
              <w:rPr>
                <w:rFonts w:ascii="Arial" w:hAnsi="Arial" w:cs="Arial"/>
              </w:rPr>
            </w:pPr>
            <w:r>
              <w:rPr>
                <w:rFonts w:ascii="Arial" w:hAnsi="Arial" w:cs="Arial"/>
              </w:rPr>
              <w:t>.2631</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94</w:t>
            </w:r>
          </w:p>
        </w:tc>
        <w:tc>
          <w:tcPr>
            <w:tcW w:w="1800" w:type="dxa"/>
          </w:tcPr>
          <w:p w:rsidR="001C0D62" w:rsidRDefault="001C0D62">
            <w:pPr>
              <w:autoSpaceDE w:val="0"/>
              <w:autoSpaceDN w:val="0"/>
              <w:adjustRightInd w:val="0"/>
              <w:rPr>
                <w:rFonts w:ascii="Arial" w:hAnsi="Arial" w:cs="Arial"/>
              </w:rPr>
            </w:pPr>
            <w:r>
              <w:rPr>
                <w:rFonts w:ascii="Arial" w:hAnsi="Arial" w:cs="Arial"/>
              </w:rPr>
              <w:t>.0697</w:t>
            </w:r>
          </w:p>
        </w:tc>
        <w:tc>
          <w:tcPr>
            <w:tcW w:w="1260" w:type="dxa"/>
          </w:tcPr>
          <w:p w:rsidR="001C0D62" w:rsidRDefault="001C0D62">
            <w:pPr>
              <w:autoSpaceDE w:val="0"/>
              <w:autoSpaceDN w:val="0"/>
              <w:adjustRightInd w:val="0"/>
              <w:rPr>
                <w:rFonts w:ascii="Arial" w:hAnsi="Arial" w:cs="Arial"/>
              </w:rPr>
            </w:pPr>
            <w:r>
              <w:rPr>
                <w:rFonts w:ascii="Arial" w:hAnsi="Arial" w:cs="Arial"/>
              </w:rPr>
              <w:t>.1320</w:t>
            </w:r>
          </w:p>
        </w:tc>
        <w:tc>
          <w:tcPr>
            <w:tcW w:w="1260" w:type="dxa"/>
          </w:tcPr>
          <w:p w:rsidR="001C0D62" w:rsidRDefault="001C0D62">
            <w:pPr>
              <w:autoSpaceDE w:val="0"/>
              <w:autoSpaceDN w:val="0"/>
              <w:adjustRightInd w:val="0"/>
              <w:rPr>
                <w:rFonts w:ascii="Arial" w:hAnsi="Arial" w:cs="Arial"/>
              </w:rPr>
            </w:pPr>
            <w:r>
              <w:rPr>
                <w:rFonts w:ascii="Arial" w:hAnsi="Arial" w:cs="Arial"/>
              </w:rPr>
              <w:t>.1689</w:t>
            </w:r>
          </w:p>
        </w:tc>
        <w:tc>
          <w:tcPr>
            <w:tcW w:w="1080" w:type="dxa"/>
          </w:tcPr>
          <w:p w:rsidR="001C0D62" w:rsidRDefault="001C0D62">
            <w:pPr>
              <w:autoSpaceDE w:val="0"/>
              <w:autoSpaceDN w:val="0"/>
              <w:adjustRightInd w:val="0"/>
              <w:rPr>
                <w:rFonts w:ascii="Arial" w:hAnsi="Arial" w:cs="Arial"/>
              </w:rPr>
            </w:pPr>
            <w:r>
              <w:rPr>
                <w:rFonts w:ascii="Arial" w:hAnsi="Arial" w:cs="Arial"/>
              </w:rPr>
              <w:t>.2006</w:t>
            </w:r>
          </w:p>
        </w:tc>
        <w:tc>
          <w:tcPr>
            <w:tcW w:w="1440" w:type="dxa"/>
          </w:tcPr>
          <w:p w:rsidR="001C0D62" w:rsidRDefault="001C0D62">
            <w:pPr>
              <w:autoSpaceDE w:val="0"/>
              <w:autoSpaceDN w:val="0"/>
              <w:adjustRightInd w:val="0"/>
              <w:rPr>
                <w:rFonts w:ascii="Arial" w:hAnsi="Arial" w:cs="Arial"/>
              </w:rPr>
            </w:pPr>
            <w:r>
              <w:rPr>
                <w:rFonts w:ascii="Arial" w:hAnsi="Arial" w:cs="Arial"/>
              </w:rPr>
              <w:t>.2371</w:t>
            </w:r>
          </w:p>
        </w:tc>
        <w:tc>
          <w:tcPr>
            <w:tcW w:w="1260" w:type="dxa"/>
          </w:tcPr>
          <w:p w:rsidR="001C0D62" w:rsidRDefault="001C0D62">
            <w:pPr>
              <w:autoSpaceDE w:val="0"/>
              <w:autoSpaceDN w:val="0"/>
              <w:adjustRightInd w:val="0"/>
              <w:rPr>
                <w:rFonts w:ascii="Arial" w:hAnsi="Arial" w:cs="Arial"/>
              </w:rPr>
            </w:pPr>
            <w:r>
              <w:rPr>
                <w:rFonts w:ascii="Arial" w:hAnsi="Arial" w:cs="Arial"/>
              </w:rPr>
              <w:t>.2617</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95</w:t>
            </w:r>
          </w:p>
        </w:tc>
        <w:tc>
          <w:tcPr>
            <w:tcW w:w="1800" w:type="dxa"/>
          </w:tcPr>
          <w:p w:rsidR="001C0D62" w:rsidRDefault="001C0D62">
            <w:pPr>
              <w:autoSpaceDE w:val="0"/>
              <w:autoSpaceDN w:val="0"/>
              <w:adjustRightInd w:val="0"/>
              <w:rPr>
                <w:rFonts w:ascii="Arial" w:hAnsi="Arial" w:cs="Arial"/>
              </w:rPr>
            </w:pPr>
            <w:r>
              <w:rPr>
                <w:rFonts w:ascii="Arial" w:hAnsi="Arial" w:cs="Arial"/>
              </w:rPr>
              <w:t>.0693</w:t>
            </w:r>
          </w:p>
        </w:tc>
        <w:tc>
          <w:tcPr>
            <w:tcW w:w="1260" w:type="dxa"/>
          </w:tcPr>
          <w:p w:rsidR="001C0D62" w:rsidRDefault="001C0D62">
            <w:pPr>
              <w:autoSpaceDE w:val="0"/>
              <w:autoSpaceDN w:val="0"/>
              <w:adjustRightInd w:val="0"/>
              <w:rPr>
                <w:rFonts w:ascii="Arial" w:hAnsi="Arial" w:cs="Arial"/>
              </w:rPr>
            </w:pPr>
            <w:r>
              <w:rPr>
                <w:rFonts w:ascii="Arial" w:hAnsi="Arial" w:cs="Arial"/>
              </w:rPr>
              <w:t>.1313</w:t>
            </w:r>
          </w:p>
        </w:tc>
        <w:tc>
          <w:tcPr>
            <w:tcW w:w="1260" w:type="dxa"/>
          </w:tcPr>
          <w:p w:rsidR="001C0D62" w:rsidRDefault="001C0D62">
            <w:pPr>
              <w:autoSpaceDE w:val="0"/>
              <w:autoSpaceDN w:val="0"/>
              <w:adjustRightInd w:val="0"/>
              <w:rPr>
                <w:rFonts w:ascii="Arial" w:hAnsi="Arial" w:cs="Arial"/>
              </w:rPr>
            </w:pPr>
            <w:r>
              <w:rPr>
                <w:rFonts w:ascii="Arial" w:hAnsi="Arial" w:cs="Arial"/>
              </w:rPr>
              <w:t>.1680</w:t>
            </w:r>
          </w:p>
        </w:tc>
        <w:tc>
          <w:tcPr>
            <w:tcW w:w="1080" w:type="dxa"/>
          </w:tcPr>
          <w:p w:rsidR="001C0D62" w:rsidRDefault="001C0D62">
            <w:pPr>
              <w:autoSpaceDE w:val="0"/>
              <w:autoSpaceDN w:val="0"/>
              <w:adjustRightInd w:val="0"/>
              <w:rPr>
                <w:rFonts w:ascii="Arial" w:hAnsi="Arial" w:cs="Arial"/>
              </w:rPr>
            </w:pPr>
            <w:r>
              <w:rPr>
                <w:rFonts w:ascii="Arial" w:hAnsi="Arial" w:cs="Arial"/>
              </w:rPr>
              <w:t>.1996</w:t>
            </w:r>
          </w:p>
        </w:tc>
        <w:tc>
          <w:tcPr>
            <w:tcW w:w="1440" w:type="dxa"/>
          </w:tcPr>
          <w:p w:rsidR="001C0D62" w:rsidRDefault="001C0D62">
            <w:pPr>
              <w:autoSpaceDE w:val="0"/>
              <w:autoSpaceDN w:val="0"/>
              <w:adjustRightInd w:val="0"/>
              <w:rPr>
                <w:rFonts w:ascii="Arial" w:hAnsi="Arial" w:cs="Arial"/>
              </w:rPr>
            </w:pPr>
            <w:r>
              <w:rPr>
                <w:rFonts w:ascii="Arial" w:hAnsi="Arial" w:cs="Arial"/>
              </w:rPr>
              <w:t>.2359</w:t>
            </w:r>
          </w:p>
        </w:tc>
        <w:tc>
          <w:tcPr>
            <w:tcW w:w="1260" w:type="dxa"/>
          </w:tcPr>
          <w:p w:rsidR="001C0D62" w:rsidRDefault="001C0D62">
            <w:pPr>
              <w:autoSpaceDE w:val="0"/>
              <w:autoSpaceDN w:val="0"/>
              <w:adjustRightInd w:val="0"/>
              <w:rPr>
                <w:rFonts w:ascii="Arial" w:hAnsi="Arial" w:cs="Arial"/>
              </w:rPr>
            </w:pPr>
            <w:r>
              <w:rPr>
                <w:rFonts w:ascii="Arial" w:hAnsi="Arial" w:cs="Arial"/>
              </w:rPr>
              <w:t>.2604</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96</w:t>
            </w:r>
          </w:p>
        </w:tc>
        <w:tc>
          <w:tcPr>
            <w:tcW w:w="1800" w:type="dxa"/>
          </w:tcPr>
          <w:p w:rsidR="001C0D62" w:rsidRDefault="001C0D62">
            <w:pPr>
              <w:autoSpaceDE w:val="0"/>
              <w:autoSpaceDN w:val="0"/>
              <w:adjustRightInd w:val="0"/>
              <w:rPr>
                <w:rFonts w:ascii="Arial" w:hAnsi="Arial" w:cs="Arial"/>
              </w:rPr>
            </w:pPr>
            <w:r>
              <w:rPr>
                <w:rFonts w:ascii="Arial" w:hAnsi="Arial" w:cs="Arial"/>
              </w:rPr>
              <w:t>.0689</w:t>
            </w:r>
          </w:p>
        </w:tc>
        <w:tc>
          <w:tcPr>
            <w:tcW w:w="1260" w:type="dxa"/>
          </w:tcPr>
          <w:p w:rsidR="001C0D62" w:rsidRDefault="001C0D62">
            <w:pPr>
              <w:autoSpaceDE w:val="0"/>
              <w:autoSpaceDN w:val="0"/>
              <w:adjustRightInd w:val="0"/>
              <w:rPr>
                <w:rFonts w:ascii="Arial" w:hAnsi="Arial" w:cs="Arial"/>
              </w:rPr>
            </w:pPr>
            <w:r>
              <w:rPr>
                <w:rFonts w:ascii="Arial" w:hAnsi="Arial" w:cs="Arial"/>
              </w:rPr>
              <w:t>.1306</w:t>
            </w:r>
          </w:p>
        </w:tc>
        <w:tc>
          <w:tcPr>
            <w:tcW w:w="1260" w:type="dxa"/>
          </w:tcPr>
          <w:p w:rsidR="001C0D62" w:rsidRDefault="001C0D62">
            <w:pPr>
              <w:autoSpaceDE w:val="0"/>
              <w:autoSpaceDN w:val="0"/>
              <w:adjustRightInd w:val="0"/>
              <w:rPr>
                <w:rFonts w:ascii="Arial" w:hAnsi="Arial" w:cs="Arial"/>
              </w:rPr>
            </w:pPr>
            <w:r>
              <w:rPr>
                <w:rFonts w:ascii="Arial" w:hAnsi="Arial" w:cs="Arial"/>
              </w:rPr>
              <w:t>.1671</w:t>
            </w:r>
          </w:p>
        </w:tc>
        <w:tc>
          <w:tcPr>
            <w:tcW w:w="1080" w:type="dxa"/>
          </w:tcPr>
          <w:p w:rsidR="001C0D62" w:rsidRDefault="001C0D62">
            <w:pPr>
              <w:autoSpaceDE w:val="0"/>
              <w:autoSpaceDN w:val="0"/>
              <w:adjustRightInd w:val="0"/>
              <w:rPr>
                <w:rFonts w:ascii="Arial" w:hAnsi="Arial" w:cs="Arial"/>
              </w:rPr>
            </w:pPr>
            <w:r>
              <w:rPr>
                <w:rFonts w:ascii="Arial" w:hAnsi="Arial" w:cs="Arial"/>
              </w:rPr>
              <w:t>.1986</w:t>
            </w:r>
          </w:p>
        </w:tc>
        <w:tc>
          <w:tcPr>
            <w:tcW w:w="1440" w:type="dxa"/>
          </w:tcPr>
          <w:p w:rsidR="001C0D62" w:rsidRDefault="001C0D62">
            <w:pPr>
              <w:autoSpaceDE w:val="0"/>
              <w:autoSpaceDN w:val="0"/>
              <w:adjustRightInd w:val="0"/>
              <w:rPr>
                <w:rFonts w:ascii="Arial" w:hAnsi="Arial" w:cs="Arial"/>
              </w:rPr>
            </w:pPr>
            <w:r>
              <w:rPr>
                <w:rFonts w:ascii="Arial" w:hAnsi="Arial" w:cs="Arial"/>
              </w:rPr>
              <w:t>.2347</w:t>
            </w:r>
          </w:p>
        </w:tc>
        <w:tc>
          <w:tcPr>
            <w:tcW w:w="1260" w:type="dxa"/>
          </w:tcPr>
          <w:p w:rsidR="001C0D62" w:rsidRDefault="001C0D62">
            <w:pPr>
              <w:autoSpaceDE w:val="0"/>
              <w:autoSpaceDN w:val="0"/>
              <w:adjustRightInd w:val="0"/>
              <w:rPr>
                <w:rFonts w:ascii="Arial" w:hAnsi="Arial" w:cs="Arial"/>
              </w:rPr>
            </w:pPr>
            <w:r>
              <w:rPr>
                <w:rFonts w:ascii="Arial" w:hAnsi="Arial" w:cs="Arial"/>
              </w:rPr>
              <w:t>.2591</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97</w:t>
            </w:r>
          </w:p>
        </w:tc>
        <w:tc>
          <w:tcPr>
            <w:tcW w:w="1800" w:type="dxa"/>
          </w:tcPr>
          <w:p w:rsidR="001C0D62" w:rsidRDefault="001C0D62">
            <w:pPr>
              <w:autoSpaceDE w:val="0"/>
              <w:autoSpaceDN w:val="0"/>
              <w:adjustRightInd w:val="0"/>
              <w:rPr>
                <w:rFonts w:ascii="Arial" w:hAnsi="Arial" w:cs="Arial"/>
              </w:rPr>
            </w:pPr>
            <w:r>
              <w:rPr>
                <w:rFonts w:ascii="Arial" w:hAnsi="Arial" w:cs="Arial"/>
              </w:rPr>
              <w:t>.0686</w:t>
            </w:r>
          </w:p>
        </w:tc>
        <w:tc>
          <w:tcPr>
            <w:tcW w:w="1260" w:type="dxa"/>
          </w:tcPr>
          <w:p w:rsidR="001C0D62" w:rsidRDefault="001C0D62">
            <w:pPr>
              <w:autoSpaceDE w:val="0"/>
              <w:autoSpaceDN w:val="0"/>
              <w:adjustRightInd w:val="0"/>
              <w:rPr>
                <w:rFonts w:ascii="Arial" w:hAnsi="Arial" w:cs="Arial"/>
              </w:rPr>
            </w:pPr>
            <w:r>
              <w:rPr>
                <w:rFonts w:ascii="Arial" w:hAnsi="Arial" w:cs="Arial"/>
              </w:rPr>
              <w:t>.1299</w:t>
            </w:r>
          </w:p>
        </w:tc>
        <w:tc>
          <w:tcPr>
            <w:tcW w:w="1260" w:type="dxa"/>
          </w:tcPr>
          <w:p w:rsidR="001C0D62" w:rsidRDefault="001C0D62">
            <w:pPr>
              <w:autoSpaceDE w:val="0"/>
              <w:autoSpaceDN w:val="0"/>
              <w:adjustRightInd w:val="0"/>
              <w:rPr>
                <w:rFonts w:ascii="Arial" w:hAnsi="Arial" w:cs="Arial"/>
              </w:rPr>
            </w:pPr>
            <w:r>
              <w:rPr>
                <w:rFonts w:ascii="Arial" w:hAnsi="Arial" w:cs="Arial"/>
              </w:rPr>
              <w:t>.1663</w:t>
            </w:r>
          </w:p>
        </w:tc>
        <w:tc>
          <w:tcPr>
            <w:tcW w:w="1080" w:type="dxa"/>
          </w:tcPr>
          <w:p w:rsidR="001C0D62" w:rsidRDefault="001C0D62">
            <w:pPr>
              <w:autoSpaceDE w:val="0"/>
              <w:autoSpaceDN w:val="0"/>
              <w:adjustRightInd w:val="0"/>
              <w:rPr>
                <w:rFonts w:ascii="Arial" w:hAnsi="Arial" w:cs="Arial"/>
              </w:rPr>
            </w:pPr>
            <w:r>
              <w:rPr>
                <w:rFonts w:ascii="Arial" w:hAnsi="Arial" w:cs="Arial"/>
              </w:rPr>
              <w:t>.1975</w:t>
            </w:r>
          </w:p>
        </w:tc>
        <w:tc>
          <w:tcPr>
            <w:tcW w:w="1440" w:type="dxa"/>
          </w:tcPr>
          <w:p w:rsidR="001C0D62" w:rsidRDefault="001C0D62">
            <w:pPr>
              <w:autoSpaceDE w:val="0"/>
              <w:autoSpaceDN w:val="0"/>
              <w:adjustRightInd w:val="0"/>
              <w:rPr>
                <w:rFonts w:ascii="Arial" w:hAnsi="Arial" w:cs="Arial"/>
              </w:rPr>
            </w:pPr>
            <w:r>
              <w:rPr>
                <w:rFonts w:ascii="Arial" w:hAnsi="Arial" w:cs="Arial"/>
              </w:rPr>
              <w:t>.2335</w:t>
            </w:r>
          </w:p>
        </w:tc>
        <w:tc>
          <w:tcPr>
            <w:tcW w:w="1260" w:type="dxa"/>
          </w:tcPr>
          <w:p w:rsidR="001C0D62" w:rsidRDefault="001C0D62">
            <w:pPr>
              <w:autoSpaceDE w:val="0"/>
              <w:autoSpaceDN w:val="0"/>
              <w:adjustRightInd w:val="0"/>
              <w:rPr>
                <w:rFonts w:ascii="Arial" w:hAnsi="Arial" w:cs="Arial"/>
              </w:rPr>
            </w:pPr>
            <w:r>
              <w:rPr>
                <w:rFonts w:ascii="Arial" w:hAnsi="Arial" w:cs="Arial"/>
              </w:rPr>
              <w:t>.2578</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98</w:t>
            </w:r>
          </w:p>
        </w:tc>
        <w:tc>
          <w:tcPr>
            <w:tcW w:w="1800" w:type="dxa"/>
          </w:tcPr>
          <w:p w:rsidR="001C0D62" w:rsidRDefault="001C0D62">
            <w:pPr>
              <w:autoSpaceDE w:val="0"/>
              <w:autoSpaceDN w:val="0"/>
              <w:adjustRightInd w:val="0"/>
              <w:rPr>
                <w:rFonts w:ascii="Arial" w:hAnsi="Arial" w:cs="Arial"/>
              </w:rPr>
            </w:pPr>
            <w:r>
              <w:rPr>
                <w:rFonts w:ascii="Arial" w:hAnsi="Arial" w:cs="Arial"/>
              </w:rPr>
              <w:t>.0682</w:t>
            </w:r>
          </w:p>
        </w:tc>
        <w:tc>
          <w:tcPr>
            <w:tcW w:w="1260" w:type="dxa"/>
          </w:tcPr>
          <w:p w:rsidR="001C0D62" w:rsidRDefault="001C0D62">
            <w:pPr>
              <w:autoSpaceDE w:val="0"/>
              <w:autoSpaceDN w:val="0"/>
              <w:adjustRightInd w:val="0"/>
              <w:rPr>
                <w:rFonts w:ascii="Arial" w:hAnsi="Arial" w:cs="Arial"/>
              </w:rPr>
            </w:pPr>
            <w:r>
              <w:rPr>
                <w:rFonts w:ascii="Arial" w:hAnsi="Arial" w:cs="Arial"/>
              </w:rPr>
              <w:t>.1292</w:t>
            </w:r>
          </w:p>
        </w:tc>
        <w:tc>
          <w:tcPr>
            <w:tcW w:w="1260" w:type="dxa"/>
          </w:tcPr>
          <w:p w:rsidR="001C0D62" w:rsidRDefault="001C0D62">
            <w:pPr>
              <w:autoSpaceDE w:val="0"/>
              <w:autoSpaceDN w:val="0"/>
              <w:adjustRightInd w:val="0"/>
              <w:rPr>
                <w:rFonts w:ascii="Arial" w:hAnsi="Arial" w:cs="Arial"/>
              </w:rPr>
            </w:pPr>
            <w:r>
              <w:rPr>
                <w:rFonts w:ascii="Arial" w:hAnsi="Arial" w:cs="Arial"/>
              </w:rPr>
              <w:t>.1654</w:t>
            </w:r>
          </w:p>
        </w:tc>
        <w:tc>
          <w:tcPr>
            <w:tcW w:w="1080" w:type="dxa"/>
          </w:tcPr>
          <w:p w:rsidR="001C0D62" w:rsidRDefault="001C0D62">
            <w:pPr>
              <w:autoSpaceDE w:val="0"/>
              <w:autoSpaceDN w:val="0"/>
              <w:adjustRightInd w:val="0"/>
              <w:rPr>
                <w:rFonts w:ascii="Arial" w:hAnsi="Arial" w:cs="Arial"/>
              </w:rPr>
            </w:pPr>
            <w:r>
              <w:rPr>
                <w:rFonts w:ascii="Arial" w:hAnsi="Arial" w:cs="Arial"/>
              </w:rPr>
              <w:t>.1966</w:t>
            </w:r>
          </w:p>
        </w:tc>
        <w:tc>
          <w:tcPr>
            <w:tcW w:w="1440" w:type="dxa"/>
          </w:tcPr>
          <w:p w:rsidR="001C0D62" w:rsidRDefault="001C0D62">
            <w:pPr>
              <w:autoSpaceDE w:val="0"/>
              <w:autoSpaceDN w:val="0"/>
              <w:adjustRightInd w:val="0"/>
              <w:rPr>
                <w:rFonts w:ascii="Arial" w:hAnsi="Arial" w:cs="Arial"/>
              </w:rPr>
            </w:pPr>
            <w:r>
              <w:rPr>
                <w:rFonts w:ascii="Arial" w:hAnsi="Arial" w:cs="Arial"/>
              </w:rPr>
              <w:t>.2324</w:t>
            </w:r>
          </w:p>
        </w:tc>
        <w:tc>
          <w:tcPr>
            <w:tcW w:w="1260" w:type="dxa"/>
          </w:tcPr>
          <w:p w:rsidR="001C0D62" w:rsidRDefault="001C0D62">
            <w:pPr>
              <w:autoSpaceDE w:val="0"/>
              <w:autoSpaceDN w:val="0"/>
              <w:adjustRightInd w:val="0"/>
              <w:rPr>
                <w:rFonts w:ascii="Arial" w:hAnsi="Arial" w:cs="Arial"/>
              </w:rPr>
            </w:pPr>
            <w:r>
              <w:rPr>
                <w:rFonts w:ascii="Arial" w:hAnsi="Arial" w:cs="Arial"/>
              </w:rPr>
              <w:t>.2565</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99</w:t>
            </w:r>
          </w:p>
        </w:tc>
        <w:tc>
          <w:tcPr>
            <w:tcW w:w="1800" w:type="dxa"/>
          </w:tcPr>
          <w:p w:rsidR="001C0D62" w:rsidRDefault="001C0D62">
            <w:pPr>
              <w:autoSpaceDE w:val="0"/>
              <w:autoSpaceDN w:val="0"/>
              <w:adjustRightInd w:val="0"/>
              <w:rPr>
                <w:rFonts w:ascii="Arial" w:hAnsi="Arial" w:cs="Arial"/>
              </w:rPr>
            </w:pPr>
            <w:r>
              <w:rPr>
                <w:rFonts w:ascii="Arial" w:hAnsi="Arial" w:cs="Arial"/>
              </w:rPr>
              <w:t>.0679</w:t>
            </w:r>
          </w:p>
        </w:tc>
        <w:tc>
          <w:tcPr>
            <w:tcW w:w="1260" w:type="dxa"/>
          </w:tcPr>
          <w:p w:rsidR="001C0D62" w:rsidRDefault="001C0D62">
            <w:pPr>
              <w:autoSpaceDE w:val="0"/>
              <w:autoSpaceDN w:val="0"/>
              <w:adjustRightInd w:val="0"/>
              <w:rPr>
                <w:rFonts w:ascii="Arial" w:hAnsi="Arial" w:cs="Arial"/>
              </w:rPr>
            </w:pPr>
            <w:r>
              <w:rPr>
                <w:rFonts w:ascii="Arial" w:hAnsi="Arial" w:cs="Arial"/>
              </w:rPr>
              <w:t>.1286</w:t>
            </w:r>
          </w:p>
        </w:tc>
        <w:tc>
          <w:tcPr>
            <w:tcW w:w="1260" w:type="dxa"/>
          </w:tcPr>
          <w:p w:rsidR="001C0D62" w:rsidRDefault="001C0D62">
            <w:pPr>
              <w:autoSpaceDE w:val="0"/>
              <w:autoSpaceDN w:val="0"/>
              <w:adjustRightInd w:val="0"/>
              <w:rPr>
                <w:rFonts w:ascii="Arial" w:hAnsi="Arial" w:cs="Arial"/>
              </w:rPr>
            </w:pPr>
            <w:r>
              <w:rPr>
                <w:rFonts w:ascii="Arial" w:hAnsi="Arial" w:cs="Arial"/>
              </w:rPr>
              <w:t>.1646</w:t>
            </w:r>
          </w:p>
        </w:tc>
        <w:tc>
          <w:tcPr>
            <w:tcW w:w="1080" w:type="dxa"/>
          </w:tcPr>
          <w:p w:rsidR="001C0D62" w:rsidRDefault="001C0D62">
            <w:pPr>
              <w:autoSpaceDE w:val="0"/>
              <w:autoSpaceDN w:val="0"/>
              <w:adjustRightInd w:val="0"/>
              <w:rPr>
                <w:rFonts w:ascii="Arial" w:hAnsi="Arial" w:cs="Arial"/>
              </w:rPr>
            </w:pPr>
            <w:r>
              <w:rPr>
                <w:rFonts w:ascii="Arial" w:hAnsi="Arial" w:cs="Arial"/>
              </w:rPr>
              <w:t>.1956</w:t>
            </w:r>
          </w:p>
        </w:tc>
        <w:tc>
          <w:tcPr>
            <w:tcW w:w="1440" w:type="dxa"/>
          </w:tcPr>
          <w:p w:rsidR="001C0D62" w:rsidRDefault="001C0D62">
            <w:pPr>
              <w:autoSpaceDE w:val="0"/>
              <w:autoSpaceDN w:val="0"/>
              <w:adjustRightInd w:val="0"/>
              <w:rPr>
                <w:rFonts w:ascii="Arial" w:hAnsi="Arial" w:cs="Arial"/>
              </w:rPr>
            </w:pPr>
            <w:r>
              <w:rPr>
                <w:rFonts w:ascii="Arial" w:hAnsi="Arial" w:cs="Arial"/>
              </w:rPr>
              <w:t>.2312</w:t>
            </w:r>
          </w:p>
        </w:tc>
        <w:tc>
          <w:tcPr>
            <w:tcW w:w="1260" w:type="dxa"/>
          </w:tcPr>
          <w:p w:rsidR="001C0D62" w:rsidRDefault="001C0D62">
            <w:pPr>
              <w:autoSpaceDE w:val="0"/>
              <w:autoSpaceDN w:val="0"/>
              <w:adjustRightInd w:val="0"/>
              <w:rPr>
                <w:rFonts w:ascii="Arial" w:hAnsi="Arial" w:cs="Arial"/>
              </w:rPr>
            </w:pPr>
            <w:r>
              <w:rPr>
                <w:rFonts w:ascii="Arial" w:hAnsi="Arial" w:cs="Arial"/>
              </w:rPr>
              <w:t>.2552</w:t>
            </w:r>
          </w:p>
        </w:tc>
      </w:tr>
      <w:tr w:rsidR="001C0D62">
        <w:tblPrEx>
          <w:tblCellMar>
            <w:top w:w="0" w:type="dxa"/>
            <w:bottom w:w="0" w:type="dxa"/>
          </w:tblCellMar>
        </w:tblPrEx>
        <w:tc>
          <w:tcPr>
            <w:tcW w:w="648" w:type="dxa"/>
          </w:tcPr>
          <w:p w:rsidR="001C0D62" w:rsidRDefault="001C0D62">
            <w:pPr>
              <w:autoSpaceDE w:val="0"/>
              <w:autoSpaceDN w:val="0"/>
              <w:adjustRightInd w:val="0"/>
              <w:rPr>
                <w:rFonts w:ascii="Arial" w:hAnsi="Arial" w:cs="Arial"/>
              </w:rPr>
            </w:pPr>
            <w:r>
              <w:rPr>
                <w:rFonts w:ascii="Arial" w:hAnsi="Arial" w:cs="Arial"/>
              </w:rPr>
              <w:t>100</w:t>
            </w:r>
          </w:p>
        </w:tc>
        <w:tc>
          <w:tcPr>
            <w:tcW w:w="1800" w:type="dxa"/>
          </w:tcPr>
          <w:p w:rsidR="001C0D62" w:rsidRDefault="001C0D62">
            <w:pPr>
              <w:autoSpaceDE w:val="0"/>
              <w:autoSpaceDN w:val="0"/>
              <w:adjustRightInd w:val="0"/>
              <w:rPr>
                <w:rFonts w:ascii="Arial" w:hAnsi="Arial" w:cs="Arial"/>
              </w:rPr>
            </w:pPr>
            <w:r>
              <w:rPr>
                <w:rFonts w:ascii="Arial" w:hAnsi="Arial" w:cs="Arial"/>
              </w:rPr>
              <w:t>.0675</w:t>
            </w:r>
          </w:p>
        </w:tc>
        <w:tc>
          <w:tcPr>
            <w:tcW w:w="1260" w:type="dxa"/>
          </w:tcPr>
          <w:p w:rsidR="001C0D62" w:rsidRDefault="001C0D62">
            <w:pPr>
              <w:autoSpaceDE w:val="0"/>
              <w:autoSpaceDN w:val="0"/>
              <w:adjustRightInd w:val="0"/>
              <w:rPr>
                <w:rFonts w:ascii="Arial" w:hAnsi="Arial" w:cs="Arial"/>
              </w:rPr>
            </w:pPr>
            <w:r>
              <w:rPr>
                <w:rFonts w:ascii="Arial" w:hAnsi="Arial" w:cs="Arial"/>
              </w:rPr>
              <w:t>.1279</w:t>
            </w:r>
          </w:p>
        </w:tc>
        <w:tc>
          <w:tcPr>
            <w:tcW w:w="1260" w:type="dxa"/>
          </w:tcPr>
          <w:p w:rsidR="001C0D62" w:rsidRDefault="001C0D62">
            <w:pPr>
              <w:autoSpaceDE w:val="0"/>
              <w:autoSpaceDN w:val="0"/>
              <w:adjustRightInd w:val="0"/>
              <w:rPr>
                <w:rFonts w:ascii="Arial" w:hAnsi="Arial" w:cs="Arial"/>
              </w:rPr>
            </w:pPr>
            <w:r>
              <w:rPr>
                <w:rFonts w:ascii="Arial" w:hAnsi="Arial" w:cs="Arial"/>
              </w:rPr>
              <w:t>.1638</w:t>
            </w:r>
          </w:p>
        </w:tc>
        <w:tc>
          <w:tcPr>
            <w:tcW w:w="1080" w:type="dxa"/>
          </w:tcPr>
          <w:p w:rsidR="001C0D62" w:rsidRDefault="001C0D62">
            <w:pPr>
              <w:autoSpaceDE w:val="0"/>
              <w:autoSpaceDN w:val="0"/>
              <w:adjustRightInd w:val="0"/>
              <w:rPr>
                <w:rFonts w:ascii="Arial" w:hAnsi="Arial" w:cs="Arial"/>
              </w:rPr>
            </w:pPr>
            <w:r>
              <w:rPr>
                <w:rFonts w:ascii="Arial" w:hAnsi="Arial" w:cs="Arial"/>
              </w:rPr>
              <w:t>.1946</w:t>
            </w:r>
          </w:p>
        </w:tc>
        <w:tc>
          <w:tcPr>
            <w:tcW w:w="1440" w:type="dxa"/>
          </w:tcPr>
          <w:p w:rsidR="001C0D62" w:rsidRDefault="001C0D62">
            <w:pPr>
              <w:autoSpaceDE w:val="0"/>
              <w:autoSpaceDN w:val="0"/>
              <w:adjustRightInd w:val="0"/>
              <w:rPr>
                <w:rFonts w:ascii="Arial" w:hAnsi="Arial" w:cs="Arial"/>
              </w:rPr>
            </w:pPr>
            <w:r>
              <w:rPr>
                <w:rFonts w:ascii="Arial" w:hAnsi="Arial" w:cs="Arial"/>
              </w:rPr>
              <w:t>.2301</w:t>
            </w:r>
          </w:p>
        </w:tc>
        <w:tc>
          <w:tcPr>
            <w:tcW w:w="1260" w:type="dxa"/>
          </w:tcPr>
          <w:p w:rsidR="001C0D62" w:rsidRDefault="001C0D62">
            <w:pPr>
              <w:autoSpaceDE w:val="0"/>
              <w:autoSpaceDN w:val="0"/>
              <w:adjustRightInd w:val="0"/>
              <w:rPr>
                <w:rFonts w:ascii="Arial" w:hAnsi="Arial" w:cs="Arial"/>
              </w:rPr>
            </w:pPr>
            <w:r>
              <w:rPr>
                <w:rFonts w:ascii="Arial" w:hAnsi="Arial" w:cs="Arial"/>
              </w:rPr>
              <w:t>.2540</w:t>
            </w:r>
          </w:p>
        </w:tc>
      </w:tr>
    </w:tbl>
    <w:p w:rsidR="001C0D62" w:rsidRDefault="001C0D62">
      <w:pPr>
        <w:autoSpaceDE w:val="0"/>
        <w:autoSpaceDN w:val="0"/>
        <w:adjustRightInd w:val="0"/>
      </w:pPr>
    </w:p>
    <w:sectPr w:rsidR="001C0D62">
      <w:pgSz w:w="12240" w:h="15840"/>
      <w:pgMar w:top="1440" w:right="1800" w:bottom="1440" w:left="1800" w:header="720" w:footer="720" w:gutter="0"/>
      <w:pgNumType w:fmt="lowerRoman" w:start="8"/>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C0D62" w:rsidRDefault="001C0D62">
      <w:r>
        <w:separator/>
      </w:r>
    </w:p>
  </w:endnote>
  <w:endnote w:type="continuationSeparator" w:id="0">
    <w:p w:rsidR="001C0D62" w:rsidRDefault="001C0D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TimesNewRomanPS-BoldMT">
    <w:panose1 w:val="00000000000000000000"/>
    <w:charset w:val="80"/>
    <w:family w:val="auto"/>
    <w:notTrueType/>
    <w:pitch w:val="default"/>
    <w:sig w:usb0="00000001"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0D62" w:rsidRDefault="001C0D6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1C0D62" w:rsidRDefault="001C0D62">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0D62" w:rsidRDefault="001C0D62">
    <w:pPr>
      <w:pStyle w:val="Footer"/>
      <w:framePr w:wrap="around" w:vAnchor="text" w:hAnchor="margin" w:xAlign="right" w:y="1"/>
      <w:jc w:val="right"/>
      <w:rPr>
        <w:rStyle w:val="PageNumber"/>
      </w:rPr>
    </w:pPr>
    <w:r>
      <w:rPr>
        <w:rStyle w:val="PageNumber"/>
      </w:rPr>
      <w:fldChar w:fldCharType="begin"/>
    </w:r>
    <w:r>
      <w:rPr>
        <w:rStyle w:val="PageNumber"/>
      </w:rPr>
      <w:instrText xml:space="preserve">PAGE  </w:instrText>
    </w:r>
    <w:r>
      <w:rPr>
        <w:rStyle w:val="PageNumber"/>
      </w:rPr>
      <w:fldChar w:fldCharType="separate"/>
    </w:r>
    <w:r w:rsidR="001F31B4">
      <w:rPr>
        <w:rStyle w:val="PageNumber"/>
        <w:noProof/>
      </w:rPr>
      <w:t>i</w:t>
    </w:r>
    <w:r>
      <w:rPr>
        <w:rStyle w:val="PageNumber"/>
      </w:rPr>
      <w:fldChar w:fldCharType="end"/>
    </w:r>
  </w:p>
  <w:p w:rsidR="001C0D62" w:rsidRDefault="001C0D62">
    <w:pPr>
      <w:pStyle w:val="Footer"/>
      <w:framePr w:wrap="around" w:vAnchor="text" w:hAnchor="margin" w:xAlign="right" w:y="1"/>
      <w:ind w:right="360"/>
      <w:rPr>
        <w:rStyle w:val="PageNumber"/>
      </w:rPr>
    </w:pPr>
  </w:p>
  <w:p w:rsidR="001C0D62" w:rsidRDefault="001C0D62">
    <w:pPr>
      <w:pStyle w:val="Footer"/>
      <w:framePr w:wrap="around" w:vAnchor="text" w:hAnchor="margin" w:xAlign="right" w:y="1"/>
      <w:ind w:right="360"/>
      <w:rPr>
        <w:rStyle w:val="PageNumber"/>
      </w:rPr>
    </w:pPr>
  </w:p>
  <w:p w:rsidR="001C0D62" w:rsidRDefault="001C0D62">
    <w:pPr>
      <w:pStyle w:val="Footer"/>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C0D62" w:rsidRDefault="001C0D62">
      <w:r>
        <w:separator/>
      </w:r>
    </w:p>
  </w:footnote>
  <w:footnote w:type="continuationSeparator" w:id="0">
    <w:p w:rsidR="001C0D62" w:rsidRDefault="001C0D6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366E2"/>
    <w:multiLevelType w:val="hybridMultilevel"/>
    <w:tmpl w:val="8DA2052E"/>
    <w:lvl w:ilvl="0" w:tplc="04090003">
      <w:start w:val="1"/>
      <w:numFmt w:val="bullet"/>
      <w:lvlText w:val="o"/>
      <w:lvlJc w:val="left"/>
      <w:pPr>
        <w:tabs>
          <w:tab w:val="num" w:pos="780"/>
        </w:tabs>
        <w:ind w:left="780" w:hanging="360"/>
      </w:pPr>
      <w:rPr>
        <w:rFonts w:ascii="Courier New" w:hAnsi="Courier New" w:hint="default"/>
      </w:rPr>
    </w:lvl>
    <w:lvl w:ilvl="1" w:tplc="04090003" w:tentative="1">
      <w:start w:val="1"/>
      <w:numFmt w:val="bullet"/>
      <w:lvlText w:val="o"/>
      <w:lvlJc w:val="left"/>
      <w:pPr>
        <w:tabs>
          <w:tab w:val="num" w:pos="1500"/>
        </w:tabs>
        <w:ind w:left="1500" w:hanging="360"/>
      </w:pPr>
      <w:rPr>
        <w:rFonts w:ascii="Courier New" w:hAnsi="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1">
    <w:nsid w:val="04211C3F"/>
    <w:multiLevelType w:val="hybridMultilevel"/>
    <w:tmpl w:val="A92EEA8A"/>
    <w:lvl w:ilvl="0" w:tplc="04090003">
      <w:start w:val="1"/>
      <w:numFmt w:val="bullet"/>
      <w:lvlText w:val="o"/>
      <w:lvlJc w:val="left"/>
      <w:pPr>
        <w:tabs>
          <w:tab w:val="num" w:pos="720"/>
        </w:tabs>
        <w:ind w:left="720"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8CF305F"/>
    <w:multiLevelType w:val="hybridMultilevel"/>
    <w:tmpl w:val="9AAE7568"/>
    <w:lvl w:ilvl="0" w:tplc="D352939E">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0B4803E6"/>
    <w:multiLevelType w:val="hybridMultilevel"/>
    <w:tmpl w:val="7018D714"/>
    <w:lvl w:ilvl="0" w:tplc="0809000F">
      <w:start w:val="1"/>
      <w:numFmt w:val="decimal"/>
      <w:lvlText w:val="%1."/>
      <w:lvlJc w:val="left"/>
      <w:pPr>
        <w:tabs>
          <w:tab w:val="num" w:pos="720"/>
        </w:tabs>
        <w:ind w:left="720" w:hanging="360"/>
      </w:pPr>
      <w:rPr>
        <w:rFonts w:cs="Times New Roman"/>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4">
    <w:nsid w:val="0E4110B4"/>
    <w:multiLevelType w:val="hybridMultilevel"/>
    <w:tmpl w:val="1F58CD18"/>
    <w:lvl w:ilvl="0" w:tplc="04090003">
      <w:start w:val="1"/>
      <w:numFmt w:val="bullet"/>
      <w:lvlText w:val="o"/>
      <w:lvlJc w:val="left"/>
      <w:pPr>
        <w:tabs>
          <w:tab w:val="num" w:pos="720"/>
        </w:tabs>
        <w:ind w:left="720"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11FF14BC"/>
    <w:multiLevelType w:val="hybridMultilevel"/>
    <w:tmpl w:val="52FE52A4"/>
    <w:lvl w:ilvl="0" w:tplc="0809000F">
      <w:start w:val="1"/>
      <w:numFmt w:val="decimal"/>
      <w:lvlText w:val="%1."/>
      <w:lvlJc w:val="left"/>
      <w:pPr>
        <w:tabs>
          <w:tab w:val="num" w:pos="720"/>
        </w:tabs>
        <w:ind w:left="720" w:hanging="360"/>
      </w:pPr>
      <w:rPr>
        <w:rFonts w:cs="Times New Roman"/>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6">
    <w:nsid w:val="14AA7B35"/>
    <w:multiLevelType w:val="hybridMultilevel"/>
    <w:tmpl w:val="EEAC060C"/>
    <w:lvl w:ilvl="0" w:tplc="04090003">
      <w:start w:val="1"/>
      <w:numFmt w:val="bullet"/>
      <w:lvlText w:val="o"/>
      <w:lvlJc w:val="left"/>
      <w:pPr>
        <w:tabs>
          <w:tab w:val="num" w:pos="720"/>
        </w:tabs>
        <w:ind w:left="720"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14F11E61"/>
    <w:multiLevelType w:val="multilevel"/>
    <w:tmpl w:val="A90E27C2"/>
    <w:lvl w:ilvl="0">
      <w:start w:val="1"/>
      <w:numFmt w:val="bullet"/>
      <w:lvlText w:val=""/>
      <w:lvlJc w:val="left"/>
      <w:pPr>
        <w:tabs>
          <w:tab w:val="num" w:pos="720"/>
        </w:tabs>
        <w:ind w:left="720" w:hanging="360"/>
      </w:pPr>
      <w:rPr>
        <w:rFonts w:ascii="Symbol" w:hAnsi="Symbol" w:hint="default"/>
        <w:sz w:val="20"/>
      </w:rPr>
    </w:lvl>
    <w:lvl w:ilvl="1">
      <w:start w:val="1"/>
      <w:numFmt w:val="upperLetter"/>
      <w:lvlText w:val="%2)"/>
      <w:lvlJc w:val="left"/>
      <w:pPr>
        <w:tabs>
          <w:tab w:val="num" w:pos="1440"/>
        </w:tabs>
        <w:ind w:left="1440" w:hanging="360"/>
      </w:pPr>
      <w:rPr>
        <w:rFonts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7513B31"/>
    <w:multiLevelType w:val="hybridMultilevel"/>
    <w:tmpl w:val="280A5D94"/>
    <w:lvl w:ilvl="0" w:tplc="04090003">
      <w:start w:val="1"/>
      <w:numFmt w:val="bullet"/>
      <w:lvlText w:val="o"/>
      <w:lvlJc w:val="left"/>
      <w:pPr>
        <w:tabs>
          <w:tab w:val="num" w:pos="720"/>
        </w:tabs>
        <w:ind w:left="720"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1B9F483C"/>
    <w:multiLevelType w:val="hybridMultilevel"/>
    <w:tmpl w:val="DBDE904A"/>
    <w:lvl w:ilvl="0" w:tplc="04090003">
      <w:start w:val="1"/>
      <w:numFmt w:val="bullet"/>
      <w:lvlText w:val="o"/>
      <w:lvlJc w:val="left"/>
      <w:pPr>
        <w:tabs>
          <w:tab w:val="num" w:pos="720"/>
        </w:tabs>
        <w:ind w:left="720"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1DDB222C"/>
    <w:multiLevelType w:val="hybridMultilevel"/>
    <w:tmpl w:val="529C9C52"/>
    <w:lvl w:ilvl="0" w:tplc="0809000F">
      <w:start w:val="1"/>
      <w:numFmt w:val="decimal"/>
      <w:lvlText w:val="%1."/>
      <w:lvlJc w:val="left"/>
      <w:pPr>
        <w:tabs>
          <w:tab w:val="num" w:pos="720"/>
        </w:tabs>
        <w:ind w:left="720" w:hanging="360"/>
      </w:pPr>
      <w:rPr>
        <w:rFonts w:cs="Times New Roman"/>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11">
    <w:nsid w:val="30601C1E"/>
    <w:multiLevelType w:val="hybridMultilevel"/>
    <w:tmpl w:val="C66CC874"/>
    <w:lvl w:ilvl="0" w:tplc="04090003">
      <w:start w:val="1"/>
      <w:numFmt w:val="bullet"/>
      <w:lvlText w:val="o"/>
      <w:lvlJc w:val="left"/>
      <w:pPr>
        <w:tabs>
          <w:tab w:val="num" w:pos="720"/>
        </w:tabs>
        <w:ind w:left="720"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3C1E021C"/>
    <w:multiLevelType w:val="hybridMultilevel"/>
    <w:tmpl w:val="2EA497B6"/>
    <w:lvl w:ilvl="0" w:tplc="0809000F">
      <w:start w:val="1"/>
      <w:numFmt w:val="decimal"/>
      <w:lvlText w:val="%1."/>
      <w:lvlJc w:val="left"/>
      <w:pPr>
        <w:tabs>
          <w:tab w:val="num" w:pos="720"/>
        </w:tabs>
        <w:ind w:left="720" w:hanging="360"/>
      </w:pPr>
      <w:rPr>
        <w:rFonts w:cs="Times New Roman"/>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13">
    <w:nsid w:val="3DBE5FC1"/>
    <w:multiLevelType w:val="hybridMultilevel"/>
    <w:tmpl w:val="6A603ADE"/>
    <w:lvl w:ilvl="0" w:tplc="DBFE30D8">
      <w:start w:val="1"/>
      <w:numFmt w:val="decimal"/>
      <w:lvlText w:val="%1."/>
      <w:lvlJc w:val="left"/>
      <w:pPr>
        <w:tabs>
          <w:tab w:val="num" w:pos="720"/>
        </w:tabs>
        <w:ind w:left="720" w:hanging="360"/>
      </w:pPr>
    </w:lvl>
    <w:lvl w:ilvl="1" w:tplc="40C41CBC" w:tentative="1">
      <w:start w:val="1"/>
      <w:numFmt w:val="decimal"/>
      <w:lvlText w:val="%2."/>
      <w:lvlJc w:val="left"/>
      <w:pPr>
        <w:tabs>
          <w:tab w:val="num" w:pos="1440"/>
        </w:tabs>
        <w:ind w:left="1440" w:hanging="360"/>
      </w:pPr>
    </w:lvl>
    <w:lvl w:ilvl="2" w:tplc="C504E592" w:tentative="1">
      <w:start w:val="1"/>
      <w:numFmt w:val="decimal"/>
      <w:lvlText w:val="%3."/>
      <w:lvlJc w:val="left"/>
      <w:pPr>
        <w:tabs>
          <w:tab w:val="num" w:pos="2160"/>
        </w:tabs>
        <w:ind w:left="2160" w:hanging="360"/>
      </w:pPr>
    </w:lvl>
    <w:lvl w:ilvl="3" w:tplc="B666FA12" w:tentative="1">
      <w:start w:val="1"/>
      <w:numFmt w:val="decimal"/>
      <w:lvlText w:val="%4."/>
      <w:lvlJc w:val="left"/>
      <w:pPr>
        <w:tabs>
          <w:tab w:val="num" w:pos="2880"/>
        </w:tabs>
        <w:ind w:left="2880" w:hanging="360"/>
      </w:pPr>
    </w:lvl>
    <w:lvl w:ilvl="4" w:tplc="31A05748" w:tentative="1">
      <w:start w:val="1"/>
      <w:numFmt w:val="decimal"/>
      <w:lvlText w:val="%5."/>
      <w:lvlJc w:val="left"/>
      <w:pPr>
        <w:tabs>
          <w:tab w:val="num" w:pos="3600"/>
        </w:tabs>
        <w:ind w:left="3600" w:hanging="360"/>
      </w:pPr>
    </w:lvl>
    <w:lvl w:ilvl="5" w:tplc="D8EC8C88" w:tentative="1">
      <w:start w:val="1"/>
      <w:numFmt w:val="decimal"/>
      <w:lvlText w:val="%6."/>
      <w:lvlJc w:val="left"/>
      <w:pPr>
        <w:tabs>
          <w:tab w:val="num" w:pos="4320"/>
        </w:tabs>
        <w:ind w:left="4320" w:hanging="360"/>
      </w:pPr>
    </w:lvl>
    <w:lvl w:ilvl="6" w:tplc="C4F45792" w:tentative="1">
      <w:start w:val="1"/>
      <w:numFmt w:val="decimal"/>
      <w:lvlText w:val="%7."/>
      <w:lvlJc w:val="left"/>
      <w:pPr>
        <w:tabs>
          <w:tab w:val="num" w:pos="5040"/>
        </w:tabs>
        <w:ind w:left="5040" w:hanging="360"/>
      </w:pPr>
    </w:lvl>
    <w:lvl w:ilvl="7" w:tplc="13D42FE6" w:tentative="1">
      <w:start w:val="1"/>
      <w:numFmt w:val="decimal"/>
      <w:lvlText w:val="%8."/>
      <w:lvlJc w:val="left"/>
      <w:pPr>
        <w:tabs>
          <w:tab w:val="num" w:pos="5760"/>
        </w:tabs>
        <w:ind w:left="5760" w:hanging="360"/>
      </w:pPr>
    </w:lvl>
    <w:lvl w:ilvl="8" w:tplc="0EBA4FE6" w:tentative="1">
      <w:start w:val="1"/>
      <w:numFmt w:val="decimal"/>
      <w:lvlText w:val="%9."/>
      <w:lvlJc w:val="left"/>
      <w:pPr>
        <w:tabs>
          <w:tab w:val="num" w:pos="6480"/>
        </w:tabs>
        <w:ind w:left="6480" w:hanging="360"/>
      </w:pPr>
    </w:lvl>
  </w:abstractNum>
  <w:abstractNum w:abstractNumId="14">
    <w:nsid w:val="3E323FB6"/>
    <w:multiLevelType w:val="hybridMultilevel"/>
    <w:tmpl w:val="EC3EBDE8"/>
    <w:lvl w:ilvl="0" w:tplc="0809000F">
      <w:start w:val="1"/>
      <w:numFmt w:val="decimal"/>
      <w:lvlText w:val="%1."/>
      <w:lvlJc w:val="left"/>
      <w:pPr>
        <w:tabs>
          <w:tab w:val="num" w:pos="720"/>
        </w:tabs>
        <w:ind w:left="720" w:hanging="360"/>
      </w:pPr>
      <w:rPr>
        <w:rFonts w:cs="Times New Roman"/>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15">
    <w:nsid w:val="3E772C99"/>
    <w:multiLevelType w:val="hybridMultilevel"/>
    <w:tmpl w:val="2E7812BC"/>
    <w:lvl w:ilvl="0" w:tplc="04090003">
      <w:start w:val="1"/>
      <w:numFmt w:val="bullet"/>
      <w:lvlText w:val="o"/>
      <w:lvlJc w:val="left"/>
      <w:pPr>
        <w:tabs>
          <w:tab w:val="num" w:pos="720"/>
        </w:tabs>
        <w:ind w:left="720"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3EB435E9"/>
    <w:multiLevelType w:val="hybridMultilevel"/>
    <w:tmpl w:val="B852AA34"/>
    <w:lvl w:ilvl="0" w:tplc="04090003">
      <w:start w:val="1"/>
      <w:numFmt w:val="bullet"/>
      <w:lvlText w:val="o"/>
      <w:lvlJc w:val="left"/>
      <w:pPr>
        <w:tabs>
          <w:tab w:val="num" w:pos="720"/>
        </w:tabs>
        <w:ind w:left="720"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3EF80026"/>
    <w:multiLevelType w:val="hybridMultilevel"/>
    <w:tmpl w:val="E28A769A"/>
    <w:lvl w:ilvl="0" w:tplc="6F243D92">
      <w:start w:val="1"/>
      <w:numFmt w:val="decimal"/>
      <w:lvlText w:val="%1."/>
      <w:lvlJc w:val="left"/>
      <w:pPr>
        <w:tabs>
          <w:tab w:val="num" w:pos="720"/>
        </w:tabs>
        <w:ind w:left="720" w:hanging="360"/>
      </w:pPr>
    </w:lvl>
    <w:lvl w:ilvl="1" w:tplc="7B2CBDF2" w:tentative="1">
      <w:start w:val="1"/>
      <w:numFmt w:val="decimal"/>
      <w:lvlText w:val="%2."/>
      <w:lvlJc w:val="left"/>
      <w:pPr>
        <w:tabs>
          <w:tab w:val="num" w:pos="1440"/>
        </w:tabs>
        <w:ind w:left="1440" w:hanging="360"/>
      </w:pPr>
    </w:lvl>
    <w:lvl w:ilvl="2" w:tplc="5F1898A4" w:tentative="1">
      <w:start w:val="1"/>
      <w:numFmt w:val="decimal"/>
      <w:lvlText w:val="%3."/>
      <w:lvlJc w:val="left"/>
      <w:pPr>
        <w:tabs>
          <w:tab w:val="num" w:pos="2160"/>
        </w:tabs>
        <w:ind w:left="2160" w:hanging="360"/>
      </w:pPr>
    </w:lvl>
    <w:lvl w:ilvl="3" w:tplc="57445B2C" w:tentative="1">
      <w:start w:val="1"/>
      <w:numFmt w:val="decimal"/>
      <w:lvlText w:val="%4."/>
      <w:lvlJc w:val="left"/>
      <w:pPr>
        <w:tabs>
          <w:tab w:val="num" w:pos="2880"/>
        </w:tabs>
        <w:ind w:left="2880" w:hanging="360"/>
      </w:pPr>
    </w:lvl>
    <w:lvl w:ilvl="4" w:tplc="2F761C5C" w:tentative="1">
      <w:start w:val="1"/>
      <w:numFmt w:val="decimal"/>
      <w:lvlText w:val="%5."/>
      <w:lvlJc w:val="left"/>
      <w:pPr>
        <w:tabs>
          <w:tab w:val="num" w:pos="3600"/>
        </w:tabs>
        <w:ind w:left="3600" w:hanging="360"/>
      </w:pPr>
    </w:lvl>
    <w:lvl w:ilvl="5" w:tplc="4A2E1896" w:tentative="1">
      <w:start w:val="1"/>
      <w:numFmt w:val="decimal"/>
      <w:lvlText w:val="%6."/>
      <w:lvlJc w:val="left"/>
      <w:pPr>
        <w:tabs>
          <w:tab w:val="num" w:pos="4320"/>
        </w:tabs>
        <w:ind w:left="4320" w:hanging="360"/>
      </w:pPr>
    </w:lvl>
    <w:lvl w:ilvl="6" w:tplc="89C499D8" w:tentative="1">
      <w:start w:val="1"/>
      <w:numFmt w:val="decimal"/>
      <w:lvlText w:val="%7."/>
      <w:lvlJc w:val="left"/>
      <w:pPr>
        <w:tabs>
          <w:tab w:val="num" w:pos="5040"/>
        </w:tabs>
        <w:ind w:left="5040" w:hanging="360"/>
      </w:pPr>
    </w:lvl>
    <w:lvl w:ilvl="7" w:tplc="582AACBC" w:tentative="1">
      <w:start w:val="1"/>
      <w:numFmt w:val="decimal"/>
      <w:lvlText w:val="%8."/>
      <w:lvlJc w:val="left"/>
      <w:pPr>
        <w:tabs>
          <w:tab w:val="num" w:pos="5760"/>
        </w:tabs>
        <w:ind w:left="5760" w:hanging="360"/>
      </w:pPr>
    </w:lvl>
    <w:lvl w:ilvl="8" w:tplc="4794536C" w:tentative="1">
      <w:start w:val="1"/>
      <w:numFmt w:val="decimal"/>
      <w:lvlText w:val="%9."/>
      <w:lvlJc w:val="left"/>
      <w:pPr>
        <w:tabs>
          <w:tab w:val="num" w:pos="6480"/>
        </w:tabs>
        <w:ind w:left="6480" w:hanging="360"/>
      </w:pPr>
    </w:lvl>
  </w:abstractNum>
  <w:abstractNum w:abstractNumId="18">
    <w:nsid w:val="44066651"/>
    <w:multiLevelType w:val="hybridMultilevel"/>
    <w:tmpl w:val="FDAE87D4"/>
    <w:lvl w:ilvl="0" w:tplc="04090003">
      <w:start w:val="1"/>
      <w:numFmt w:val="bullet"/>
      <w:lvlText w:val="o"/>
      <w:lvlJc w:val="left"/>
      <w:pPr>
        <w:tabs>
          <w:tab w:val="num" w:pos="720"/>
        </w:tabs>
        <w:ind w:left="720"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4A487C22"/>
    <w:multiLevelType w:val="hybridMultilevel"/>
    <w:tmpl w:val="DC4CDBF2"/>
    <w:lvl w:ilvl="0" w:tplc="50EAB3E2">
      <w:start w:val="1"/>
      <w:numFmt w:val="decimal"/>
      <w:lvlText w:val="%1."/>
      <w:lvlJc w:val="left"/>
      <w:pPr>
        <w:tabs>
          <w:tab w:val="num" w:pos="720"/>
        </w:tabs>
        <w:ind w:left="720" w:hanging="360"/>
      </w:pPr>
    </w:lvl>
    <w:lvl w:ilvl="1" w:tplc="89C48E90" w:tentative="1">
      <w:start w:val="1"/>
      <w:numFmt w:val="decimal"/>
      <w:lvlText w:val="%2."/>
      <w:lvlJc w:val="left"/>
      <w:pPr>
        <w:tabs>
          <w:tab w:val="num" w:pos="1440"/>
        </w:tabs>
        <w:ind w:left="1440" w:hanging="360"/>
      </w:pPr>
    </w:lvl>
    <w:lvl w:ilvl="2" w:tplc="D584C276" w:tentative="1">
      <w:start w:val="1"/>
      <w:numFmt w:val="decimal"/>
      <w:lvlText w:val="%3."/>
      <w:lvlJc w:val="left"/>
      <w:pPr>
        <w:tabs>
          <w:tab w:val="num" w:pos="2160"/>
        </w:tabs>
        <w:ind w:left="2160" w:hanging="360"/>
      </w:pPr>
    </w:lvl>
    <w:lvl w:ilvl="3" w:tplc="D6786B38" w:tentative="1">
      <w:start w:val="1"/>
      <w:numFmt w:val="decimal"/>
      <w:lvlText w:val="%4."/>
      <w:lvlJc w:val="left"/>
      <w:pPr>
        <w:tabs>
          <w:tab w:val="num" w:pos="2880"/>
        </w:tabs>
        <w:ind w:left="2880" w:hanging="360"/>
      </w:pPr>
    </w:lvl>
    <w:lvl w:ilvl="4" w:tplc="BD50459A" w:tentative="1">
      <w:start w:val="1"/>
      <w:numFmt w:val="decimal"/>
      <w:lvlText w:val="%5."/>
      <w:lvlJc w:val="left"/>
      <w:pPr>
        <w:tabs>
          <w:tab w:val="num" w:pos="3600"/>
        </w:tabs>
        <w:ind w:left="3600" w:hanging="360"/>
      </w:pPr>
    </w:lvl>
    <w:lvl w:ilvl="5" w:tplc="A9441456" w:tentative="1">
      <w:start w:val="1"/>
      <w:numFmt w:val="decimal"/>
      <w:lvlText w:val="%6."/>
      <w:lvlJc w:val="left"/>
      <w:pPr>
        <w:tabs>
          <w:tab w:val="num" w:pos="4320"/>
        </w:tabs>
        <w:ind w:left="4320" w:hanging="360"/>
      </w:pPr>
    </w:lvl>
    <w:lvl w:ilvl="6" w:tplc="88C46670" w:tentative="1">
      <w:start w:val="1"/>
      <w:numFmt w:val="decimal"/>
      <w:lvlText w:val="%7."/>
      <w:lvlJc w:val="left"/>
      <w:pPr>
        <w:tabs>
          <w:tab w:val="num" w:pos="5040"/>
        </w:tabs>
        <w:ind w:left="5040" w:hanging="360"/>
      </w:pPr>
    </w:lvl>
    <w:lvl w:ilvl="7" w:tplc="663A1C10" w:tentative="1">
      <w:start w:val="1"/>
      <w:numFmt w:val="decimal"/>
      <w:lvlText w:val="%8."/>
      <w:lvlJc w:val="left"/>
      <w:pPr>
        <w:tabs>
          <w:tab w:val="num" w:pos="5760"/>
        </w:tabs>
        <w:ind w:left="5760" w:hanging="360"/>
      </w:pPr>
    </w:lvl>
    <w:lvl w:ilvl="8" w:tplc="DE6EC956" w:tentative="1">
      <w:start w:val="1"/>
      <w:numFmt w:val="decimal"/>
      <w:lvlText w:val="%9."/>
      <w:lvlJc w:val="left"/>
      <w:pPr>
        <w:tabs>
          <w:tab w:val="num" w:pos="6480"/>
        </w:tabs>
        <w:ind w:left="6480" w:hanging="360"/>
      </w:pPr>
    </w:lvl>
  </w:abstractNum>
  <w:abstractNum w:abstractNumId="20">
    <w:nsid w:val="538021E3"/>
    <w:multiLevelType w:val="hybridMultilevel"/>
    <w:tmpl w:val="777C409C"/>
    <w:lvl w:ilvl="0" w:tplc="0809000F">
      <w:start w:val="1"/>
      <w:numFmt w:val="decimal"/>
      <w:lvlText w:val="%1."/>
      <w:lvlJc w:val="left"/>
      <w:pPr>
        <w:tabs>
          <w:tab w:val="num" w:pos="720"/>
        </w:tabs>
        <w:ind w:left="720" w:hanging="360"/>
      </w:pPr>
      <w:rPr>
        <w:rFonts w:cs="Times New Roman"/>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21">
    <w:nsid w:val="54FA3995"/>
    <w:multiLevelType w:val="hybridMultilevel"/>
    <w:tmpl w:val="B3461D00"/>
    <w:lvl w:ilvl="0" w:tplc="DDEC445C">
      <w:start w:val="1"/>
      <w:numFmt w:val="decimal"/>
      <w:lvlText w:val="%1."/>
      <w:lvlJc w:val="left"/>
      <w:pPr>
        <w:tabs>
          <w:tab w:val="num" w:pos="720"/>
        </w:tabs>
        <w:ind w:left="720" w:hanging="360"/>
      </w:pPr>
    </w:lvl>
    <w:lvl w:ilvl="1" w:tplc="1212BB54" w:tentative="1">
      <w:start w:val="1"/>
      <w:numFmt w:val="decimal"/>
      <w:lvlText w:val="%2."/>
      <w:lvlJc w:val="left"/>
      <w:pPr>
        <w:tabs>
          <w:tab w:val="num" w:pos="1440"/>
        </w:tabs>
        <w:ind w:left="1440" w:hanging="360"/>
      </w:pPr>
    </w:lvl>
    <w:lvl w:ilvl="2" w:tplc="2D569A2C" w:tentative="1">
      <w:start w:val="1"/>
      <w:numFmt w:val="decimal"/>
      <w:lvlText w:val="%3."/>
      <w:lvlJc w:val="left"/>
      <w:pPr>
        <w:tabs>
          <w:tab w:val="num" w:pos="2160"/>
        </w:tabs>
        <w:ind w:left="2160" w:hanging="360"/>
      </w:pPr>
    </w:lvl>
    <w:lvl w:ilvl="3" w:tplc="29E0F7F4" w:tentative="1">
      <w:start w:val="1"/>
      <w:numFmt w:val="decimal"/>
      <w:lvlText w:val="%4."/>
      <w:lvlJc w:val="left"/>
      <w:pPr>
        <w:tabs>
          <w:tab w:val="num" w:pos="2880"/>
        </w:tabs>
        <w:ind w:left="2880" w:hanging="360"/>
      </w:pPr>
    </w:lvl>
    <w:lvl w:ilvl="4" w:tplc="DEBEB93C" w:tentative="1">
      <w:start w:val="1"/>
      <w:numFmt w:val="decimal"/>
      <w:lvlText w:val="%5."/>
      <w:lvlJc w:val="left"/>
      <w:pPr>
        <w:tabs>
          <w:tab w:val="num" w:pos="3600"/>
        </w:tabs>
        <w:ind w:left="3600" w:hanging="360"/>
      </w:pPr>
    </w:lvl>
    <w:lvl w:ilvl="5" w:tplc="AB1611E2" w:tentative="1">
      <w:start w:val="1"/>
      <w:numFmt w:val="decimal"/>
      <w:lvlText w:val="%6."/>
      <w:lvlJc w:val="left"/>
      <w:pPr>
        <w:tabs>
          <w:tab w:val="num" w:pos="4320"/>
        </w:tabs>
        <w:ind w:left="4320" w:hanging="360"/>
      </w:pPr>
    </w:lvl>
    <w:lvl w:ilvl="6" w:tplc="50089C48" w:tentative="1">
      <w:start w:val="1"/>
      <w:numFmt w:val="decimal"/>
      <w:lvlText w:val="%7."/>
      <w:lvlJc w:val="left"/>
      <w:pPr>
        <w:tabs>
          <w:tab w:val="num" w:pos="5040"/>
        </w:tabs>
        <w:ind w:left="5040" w:hanging="360"/>
      </w:pPr>
    </w:lvl>
    <w:lvl w:ilvl="7" w:tplc="1624BE8A" w:tentative="1">
      <w:start w:val="1"/>
      <w:numFmt w:val="decimal"/>
      <w:lvlText w:val="%8."/>
      <w:lvlJc w:val="left"/>
      <w:pPr>
        <w:tabs>
          <w:tab w:val="num" w:pos="5760"/>
        </w:tabs>
        <w:ind w:left="5760" w:hanging="360"/>
      </w:pPr>
    </w:lvl>
    <w:lvl w:ilvl="8" w:tplc="659461DA" w:tentative="1">
      <w:start w:val="1"/>
      <w:numFmt w:val="decimal"/>
      <w:lvlText w:val="%9."/>
      <w:lvlJc w:val="left"/>
      <w:pPr>
        <w:tabs>
          <w:tab w:val="num" w:pos="6480"/>
        </w:tabs>
        <w:ind w:left="6480" w:hanging="360"/>
      </w:pPr>
    </w:lvl>
  </w:abstractNum>
  <w:abstractNum w:abstractNumId="22">
    <w:nsid w:val="5BFF1664"/>
    <w:multiLevelType w:val="hybridMultilevel"/>
    <w:tmpl w:val="46103B02"/>
    <w:lvl w:ilvl="0" w:tplc="04090003">
      <w:start w:val="1"/>
      <w:numFmt w:val="bullet"/>
      <w:lvlText w:val="o"/>
      <w:lvlJc w:val="left"/>
      <w:pPr>
        <w:tabs>
          <w:tab w:val="num" w:pos="720"/>
        </w:tabs>
        <w:ind w:left="720"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6243754F"/>
    <w:multiLevelType w:val="hybridMultilevel"/>
    <w:tmpl w:val="68389312"/>
    <w:lvl w:ilvl="0" w:tplc="0809000F">
      <w:start w:val="1"/>
      <w:numFmt w:val="decimal"/>
      <w:lvlText w:val="%1."/>
      <w:lvlJc w:val="left"/>
      <w:pPr>
        <w:tabs>
          <w:tab w:val="num" w:pos="720"/>
        </w:tabs>
        <w:ind w:left="720" w:hanging="360"/>
      </w:pPr>
      <w:rPr>
        <w:rFonts w:cs="Times New Roman"/>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24">
    <w:nsid w:val="64F95F8B"/>
    <w:multiLevelType w:val="hybridMultilevel"/>
    <w:tmpl w:val="5C687494"/>
    <w:lvl w:ilvl="0" w:tplc="0809000F">
      <w:start w:val="1"/>
      <w:numFmt w:val="decimal"/>
      <w:lvlText w:val="%1."/>
      <w:lvlJc w:val="left"/>
      <w:pPr>
        <w:tabs>
          <w:tab w:val="num" w:pos="720"/>
        </w:tabs>
        <w:ind w:left="720" w:hanging="360"/>
      </w:pPr>
      <w:rPr>
        <w:rFonts w:cs="Times New Roman"/>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25">
    <w:nsid w:val="671F5118"/>
    <w:multiLevelType w:val="hybridMultilevel"/>
    <w:tmpl w:val="A9FA89BA"/>
    <w:lvl w:ilvl="0" w:tplc="2C2CF1B0">
      <w:start w:val="1"/>
      <w:numFmt w:val="bullet"/>
      <w:lvlText w:val=""/>
      <w:lvlJc w:val="left"/>
      <w:pPr>
        <w:tabs>
          <w:tab w:val="num" w:pos="720"/>
        </w:tabs>
        <w:ind w:left="720" w:hanging="360"/>
      </w:pPr>
      <w:rPr>
        <w:rFonts w:ascii="Symbol" w:hAnsi="Symbol" w:hint="default"/>
        <w:sz w:val="20"/>
      </w:rPr>
    </w:lvl>
    <w:lvl w:ilvl="1" w:tplc="7A662D66" w:tentative="1">
      <w:start w:val="1"/>
      <w:numFmt w:val="bullet"/>
      <w:lvlText w:val="o"/>
      <w:lvlJc w:val="left"/>
      <w:pPr>
        <w:tabs>
          <w:tab w:val="num" w:pos="1440"/>
        </w:tabs>
        <w:ind w:left="1440" w:hanging="360"/>
      </w:pPr>
      <w:rPr>
        <w:rFonts w:ascii="Courier New" w:hAnsi="Courier New" w:hint="default"/>
        <w:sz w:val="20"/>
      </w:rPr>
    </w:lvl>
    <w:lvl w:ilvl="2" w:tplc="E82463CA" w:tentative="1">
      <w:start w:val="1"/>
      <w:numFmt w:val="bullet"/>
      <w:lvlText w:val=""/>
      <w:lvlJc w:val="left"/>
      <w:pPr>
        <w:tabs>
          <w:tab w:val="num" w:pos="2160"/>
        </w:tabs>
        <w:ind w:left="2160" w:hanging="360"/>
      </w:pPr>
      <w:rPr>
        <w:rFonts w:ascii="Wingdings" w:hAnsi="Wingdings" w:hint="default"/>
        <w:sz w:val="20"/>
      </w:rPr>
    </w:lvl>
    <w:lvl w:ilvl="3" w:tplc="CF2C5C9E" w:tentative="1">
      <w:start w:val="1"/>
      <w:numFmt w:val="bullet"/>
      <w:lvlText w:val=""/>
      <w:lvlJc w:val="left"/>
      <w:pPr>
        <w:tabs>
          <w:tab w:val="num" w:pos="2880"/>
        </w:tabs>
        <w:ind w:left="2880" w:hanging="360"/>
      </w:pPr>
      <w:rPr>
        <w:rFonts w:ascii="Wingdings" w:hAnsi="Wingdings" w:hint="default"/>
        <w:sz w:val="20"/>
      </w:rPr>
    </w:lvl>
    <w:lvl w:ilvl="4" w:tplc="90582A86" w:tentative="1">
      <w:start w:val="1"/>
      <w:numFmt w:val="bullet"/>
      <w:lvlText w:val=""/>
      <w:lvlJc w:val="left"/>
      <w:pPr>
        <w:tabs>
          <w:tab w:val="num" w:pos="3600"/>
        </w:tabs>
        <w:ind w:left="3600" w:hanging="360"/>
      </w:pPr>
      <w:rPr>
        <w:rFonts w:ascii="Wingdings" w:hAnsi="Wingdings" w:hint="default"/>
        <w:sz w:val="20"/>
      </w:rPr>
    </w:lvl>
    <w:lvl w:ilvl="5" w:tplc="B1C2DFF8" w:tentative="1">
      <w:start w:val="1"/>
      <w:numFmt w:val="bullet"/>
      <w:lvlText w:val=""/>
      <w:lvlJc w:val="left"/>
      <w:pPr>
        <w:tabs>
          <w:tab w:val="num" w:pos="4320"/>
        </w:tabs>
        <w:ind w:left="4320" w:hanging="360"/>
      </w:pPr>
      <w:rPr>
        <w:rFonts w:ascii="Wingdings" w:hAnsi="Wingdings" w:hint="default"/>
        <w:sz w:val="20"/>
      </w:rPr>
    </w:lvl>
    <w:lvl w:ilvl="6" w:tplc="ED8CA5DE" w:tentative="1">
      <w:start w:val="1"/>
      <w:numFmt w:val="bullet"/>
      <w:lvlText w:val=""/>
      <w:lvlJc w:val="left"/>
      <w:pPr>
        <w:tabs>
          <w:tab w:val="num" w:pos="5040"/>
        </w:tabs>
        <w:ind w:left="5040" w:hanging="360"/>
      </w:pPr>
      <w:rPr>
        <w:rFonts w:ascii="Wingdings" w:hAnsi="Wingdings" w:hint="default"/>
        <w:sz w:val="20"/>
      </w:rPr>
    </w:lvl>
    <w:lvl w:ilvl="7" w:tplc="E9E80C08" w:tentative="1">
      <w:start w:val="1"/>
      <w:numFmt w:val="bullet"/>
      <w:lvlText w:val=""/>
      <w:lvlJc w:val="left"/>
      <w:pPr>
        <w:tabs>
          <w:tab w:val="num" w:pos="5760"/>
        </w:tabs>
        <w:ind w:left="5760" w:hanging="360"/>
      </w:pPr>
      <w:rPr>
        <w:rFonts w:ascii="Wingdings" w:hAnsi="Wingdings" w:hint="default"/>
        <w:sz w:val="20"/>
      </w:rPr>
    </w:lvl>
    <w:lvl w:ilvl="8" w:tplc="EEEA3A04" w:tentative="1">
      <w:start w:val="1"/>
      <w:numFmt w:val="bullet"/>
      <w:lvlText w:val=""/>
      <w:lvlJc w:val="left"/>
      <w:pPr>
        <w:tabs>
          <w:tab w:val="num" w:pos="6480"/>
        </w:tabs>
        <w:ind w:left="6480" w:hanging="360"/>
      </w:pPr>
      <w:rPr>
        <w:rFonts w:ascii="Wingdings" w:hAnsi="Wingdings" w:hint="default"/>
        <w:sz w:val="20"/>
      </w:rPr>
    </w:lvl>
  </w:abstractNum>
  <w:abstractNum w:abstractNumId="26">
    <w:nsid w:val="68D217AD"/>
    <w:multiLevelType w:val="hybridMultilevel"/>
    <w:tmpl w:val="FDB248F0"/>
    <w:lvl w:ilvl="0" w:tplc="0809000F">
      <w:start w:val="1"/>
      <w:numFmt w:val="decimal"/>
      <w:lvlText w:val="%1."/>
      <w:lvlJc w:val="left"/>
      <w:pPr>
        <w:tabs>
          <w:tab w:val="num" w:pos="720"/>
        </w:tabs>
        <w:ind w:left="720" w:hanging="360"/>
      </w:pPr>
      <w:rPr>
        <w:rFonts w:cs="Times New Roman"/>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27">
    <w:nsid w:val="690235A2"/>
    <w:multiLevelType w:val="hybridMultilevel"/>
    <w:tmpl w:val="7BE43CE4"/>
    <w:lvl w:ilvl="0" w:tplc="0809000F">
      <w:start w:val="1"/>
      <w:numFmt w:val="decimal"/>
      <w:lvlText w:val="%1."/>
      <w:lvlJc w:val="left"/>
      <w:pPr>
        <w:tabs>
          <w:tab w:val="num" w:pos="720"/>
        </w:tabs>
        <w:ind w:left="720" w:hanging="360"/>
      </w:pPr>
      <w:rPr>
        <w:rFonts w:cs="Times New Roman"/>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28">
    <w:nsid w:val="72CD0085"/>
    <w:multiLevelType w:val="hybridMultilevel"/>
    <w:tmpl w:val="24845870"/>
    <w:lvl w:ilvl="0" w:tplc="0809000F">
      <w:start w:val="1"/>
      <w:numFmt w:val="decimal"/>
      <w:lvlText w:val="%1."/>
      <w:lvlJc w:val="left"/>
      <w:pPr>
        <w:tabs>
          <w:tab w:val="num" w:pos="720"/>
        </w:tabs>
        <w:ind w:left="720" w:hanging="360"/>
      </w:pPr>
      <w:rPr>
        <w:rFonts w:cs="Times New Roman"/>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29">
    <w:nsid w:val="74CA45F4"/>
    <w:multiLevelType w:val="hybridMultilevel"/>
    <w:tmpl w:val="D270B180"/>
    <w:lvl w:ilvl="0" w:tplc="2F288C88">
      <w:start w:val="1"/>
      <w:numFmt w:val="decimal"/>
      <w:lvlText w:val="%1."/>
      <w:lvlJc w:val="left"/>
      <w:pPr>
        <w:tabs>
          <w:tab w:val="num" w:pos="720"/>
        </w:tabs>
        <w:ind w:left="720" w:hanging="360"/>
      </w:pPr>
    </w:lvl>
    <w:lvl w:ilvl="1" w:tplc="DA78B988" w:tentative="1">
      <w:start w:val="1"/>
      <w:numFmt w:val="decimal"/>
      <w:lvlText w:val="%2."/>
      <w:lvlJc w:val="left"/>
      <w:pPr>
        <w:tabs>
          <w:tab w:val="num" w:pos="1440"/>
        </w:tabs>
        <w:ind w:left="1440" w:hanging="360"/>
      </w:pPr>
    </w:lvl>
    <w:lvl w:ilvl="2" w:tplc="2F705EB0" w:tentative="1">
      <w:start w:val="1"/>
      <w:numFmt w:val="decimal"/>
      <w:lvlText w:val="%3."/>
      <w:lvlJc w:val="left"/>
      <w:pPr>
        <w:tabs>
          <w:tab w:val="num" w:pos="2160"/>
        </w:tabs>
        <w:ind w:left="2160" w:hanging="360"/>
      </w:pPr>
    </w:lvl>
    <w:lvl w:ilvl="3" w:tplc="EA649244" w:tentative="1">
      <w:start w:val="1"/>
      <w:numFmt w:val="decimal"/>
      <w:lvlText w:val="%4."/>
      <w:lvlJc w:val="left"/>
      <w:pPr>
        <w:tabs>
          <w:tab w:val="num" w:pos="2880"/>
        </w:tabs>
        <w:ind w:left="2880" w:hanging="360"/>
      </w:pPr>
    </w:lvl>
    <w:lvl w:ilvl="4" w:tplc="B7829CE8" w:tentative="1">
      <w:start w:val="1"/>
      <w:numFmt w:val="decimal"/>
      <w:lvlText w:val="%5."/>
      <w:lvlJc w:val="left"/>
      <w:pPr>
        <w:tabs>
          <w:tab w:val="num" w:pos="3600"/>
        </w:tabs>
        <w:ind w:left="3600" w:hanging="360"/>
      </w:pPr>
    </w:lvl>
    <w:lvl w:ilvl="5" w:tplc="0BDA227C" w:tentative="1">
      <w:start w:val="1"/>
      <w:numFmt w:val="decimal"/>
      <w:lvlText w:val="%6."/>
      <w:lvlJc w:val="left"/>
      <w:pPr>
        <w:tabs>
          <w:tab w:val="num" w:pos="4320"/>
        </w:tabs>
        <w:ind w:left="4320" w:hanging="360"/>
      </w:pPr>
    </w:lvl>
    <w:lvl w:ilvl="6" w:tplc="30686A14" w:tentative="1">
      <w:start w:val="1"/>
      <w:numFmt w:val="decimal"/>
      <w:lvlText w:val="%7."/>
      <w:lvlJc w:val="left"/>
      <w:pPr>
        <w:tabs>
          <w:tab w:val="num" w:pos="5040"/>
        </w:tabs>
        <w:ind w:left="5040" w:hanging="360"/>
      </w:pPr>
    </w:lvl>
    <w:lvl w:ilvl="7" w:tplc="23DE7D72" w:tentative="1">
      <w:start w:val="1"/>
      <w:numFmt w:val="decimal"/>
      <w:lvlText w:val="%8."/>
      <w:lvlJc w:val="left"/>
      <w:pPr>
        <w:tabs>
          <w:tab w:val="num" w:pos="5760"/>
        </w:tabs>
        <w:ind w:left="5760" w:hanging="360"/>
      </w:pPr>
    </w:lvl>
    <w:lvl w:ilvl="8" w:tplc="0414AB9E" w:tentative="1">
      <w:start w:val="1"/>
      <w:numFmt w:val="decimal"/>
      <w:lvlText w:val="%9."/>
      <w:lvlJc w:val="left"/>
      <w:pPr>
        <w:tabs>
          <w:tab w:val="num" w:pos="6480"/>
        </w:tabs>
        <w:ind w:left="6480" w:hanging="360"/>
      </w:pPr>
    </w:lvl>
  </w:abstractNum>
  <w:abstractNum w:abstractNumId="30">
    <w:nsid w:val="759361E4"/>
    <w:multiLevelType w:val="hybridMultilevel"/>
    <w:tmpl w:val="7D70C6AE"/>
    <w:lvl w:ilvl="0" w:tplc="0809000F">
      <w:start w:val="1"/>
      <w:numFmt w:val="decimal"/>
      <w:lvlText w:val="%1."/>
      <w:lvlJc w:val="left"/>
      <w:pPr>
        <w:tabs>
          <w:tab w:val="num" w:pos="720"/>
        </w:tabs>
        <w:ind w:left="720" w:hanging="360"/>
      </w:pPr>
      <w:rPr>
        <w:rFonts w:cs="Times New Roman"/>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num w:numId="1">
    <w:abstractNumId w:val="7"/>
  </w:num>
  <w:num w:numId="2">
    <w:abstractNumId w:val="23"/>
  </w:num>
  <w:num w:numId="3">
    <w:abstractNumId w:val="10"/>
  </w:num>
  <w:num w:numId="4">
    <w:abstractNumId w:val="12"/>
  </w:num>
  <w:num w:numId="5">
    <w:abstractNumId w:val="24"/>
  </w:num>
  <w:num w:numId="6">
    <w:abstractNumId w:val="28"/>
  </w:num>
  <w:num w:numId="7">
    <w:abstractNumId w:val="3"/>
  </w:num>
  <w:num w:numId="8">
    <w:abstractNumId w:val="26"/>
  </w:num>
  <w:num w:numId="9">
    <w:abstractNumId w:val="27"/>
  </w:num>
  <w:num w:numId="10">
    <w:abstractNumId w:val="14"/>
  </w:num>
  <w:num w:numId="11">
    <w:abstractNumId w:val="5"/>
  </w:num>
  <w:num w:numId="12">
    <w:abstractNumId w:val="30"/>
  </w:num>
  <w:num w:numId="13">
    <w:abstractNumId w:val="20"/>
  </w:num>
  <w:num w:numId="14">
    <w:abstractNumId w:val="2"/>
  </w:num>
  <w:num w:numId="15">
    <w:abstractNumId w:val="8"/>
  </w:num>
  <w:num w:numId="16">
    <w:abstractNumId w:val="18"/>
  </w:num>
  <w:num w:numId="17">
    <w:abstractNumId w:val="15"/>
  </w:num>
  <w:num w:numId="18">
    <w:abstractNumId w:val="21"/>
  </w:num>
  <w:num w:numId="19">
    <w:abstractNumId w:val="13"/>
  </w:num>
  <w:num w:numId="20">
    <w:abstractNumId w:val="19"/>
  </w:num>
  <w:num w:numId="21">
    <w:abstractNumId w:val="17"/>
  </w:num>
  <w:num w:numId="22">
    <w:abstractNumId w:val="29"/>
  </w:num>
  <w:num w:numId="23">
    <w:abstractNumId w:val="25"/>
  </w:num>
  <w:num w:numId="24">
    <w:abstractNumId w:val="6"/>
  </w:num>
  <w:num w:numId="25">
    <w:abstractNumId w:val="0"/>
  </w:num>
  <w:num w:numId="26">
    <w:abstractNumId w:val="11"/>
  </w:num>
  <w:num w:numId="27">
    <w:abstractNumId w:val="16"/>
  </w:num>
  <w:num w:numId="28">
    <w:abstractNumId w:val="4"/>
  </w:num>
  <w:num w:numId="29">
    <w:abstractNumId w:val="22"/>
  </w:num>
  <w:num w:numId="30">
    <w:abstractNumId w:val="9"/>
  </w:num>
  <w:num w:numId="3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155A"/>
    <w:rsid w:val="001740BB"/>
    <w:rsid w:val="001C0D62"/>
    <w:rsid w:val="001F31B4"/>
    <w:rsid w:val="002722AA"/>
    <w:rsid w:val="003136A7"/>
    <w:rsid w:val="0049155A"/>
    <w:rsid w:val="006038B0"/>
    <w:rsid w:val="007740BA"/>
    <w:rsid w:val="007764A2"/>
    <w:rsid w:val="00844DD6"/>
    <w:rsid w:val="00891D9F"/>
    <w:rsid w:val="00B128A1"/>
    <w:rsid w:val="00B132EC"/>
    <w:rsid w:val="00D35187"/>
    <w:rsid w:val="00DA2C2A"/>
    <w:rsid w:val="00E041A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country-region"/>
  <w:smartTagType w:namespaceuri="urn:schemas-microsoft-com:office:smarttags" w:name="City"/>
  <w:smartTagType w:namespaceuri="urn:schemas-microsoft-com:office:smarttags" w:name="State"/>
  <w:smartTagType w:namespaceuri="urn:schemas-microsoft-com:office:smarttags" w:name="PlaceName"/>
  <w:smartTagType w:namespaceuri="urn:schemas-microsoft-com:office:smarttags" w:name="PlaceType"/>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rFonts w:ascii="Tahoma" w:hAnsi="Tahoma" w:cs="Tahoma"/>
      <w:sz w:val="24"/>
      <w:szCs w:val="24"/>
      <w:lang w:val="en-US" w:eastAsia="en-US"/>
    </w:rPr>
  </w:style>
  <w:style w:type="paragraph" w:styleId="Heading1">
    <w:name w:val="heading 1"/>
    <w:basedOn w:val="Normal"/>
    <w:next w:val="Normal"/>
    <w:qFormat/>
    <w:pPr>
      <w:keepNext/>
      <w:jc w:val="center"/>
      <w:outlineLvl w:val="0"/>
    </w:pPr>
    <w:rPr>
      <w:rFonts w:ascii="Arial" w:hAnsi="Arial" w:cs="Arial"/>
      <w:b/>
      <w:bCs/>
      <w:sz w:val="28"/>
      <w:u w:val="single"/>
    </w:rPr>
  </w:style>
  <w:style w:type="paragraph" w:styleId="Heading2">
    <w:name w:val="heading 2"/>
    <w:basedOn w:val="Normal"/>
    <w:next w:val="Normal"/>
    <w:qFormat/>
    <w:pPr>
      <w:keepNext/>
      <w:jc w:val="center"/>
      <w:outlineLvl w:val="1"/>
    </w:pPr>
    <w:rPr>
      <w:rFonts w:ascii="Arial" w:hAnsi="Arial" w:cs="Arial"/>
      <w:b/>
      <w:bCs/>
      <w:sz w:val="32"/>
      <w:u w:val="single"/>
    </w:rPr>
  </w:style>
  <w:style w:type="paragraph" w:styleId="Heading3">
    <w:name w:val="heading 3"/>
    <w:basedOn w:val="Normal"/>
    <w:next w:val="Normal"/>
    <w:qFormat/>
    <w:pPr>
      <w:keepNext/>
      <w:jc w:val="both"/>
      <w:outlineLvl w:val="2"/>
    </w:pPr>
    <w:rPr>
      <w:rFonts w:ascii="Arial" w:hAnsi="Arial" w:cs="Arial"/>
      <w:sz w:val="28"/>
    </w:rPr>
  </w:style>
  <w:style w:type="paragraph" w:styleId="Heading4">
    <w:name w:val="heading 4"/>
    <w:basedOn w:val="Normal"/>
    <w:next w:val="Normal"/>
    <w:qFormat/>
    <w:pPr>
      <w:keepNext/>
      <w:autoSpaceDE w:val="0"/>
      <w:autoSpaceDN w:val="0"/>
      <w:adjustRightInd w:val="0"/>
      <w:outlineLvl w:val="3"/>
    </w:pPr>
    <w:rPr>
      <w:rFonts w:ascii="Arial" w:hAnsi="Arial" w:cs="Arial"/>
      <w:sz w:val="28"/>
      <w:szCs w:val="28"/>
      <w:u w:val="single"/>
    </w:rPr>
  </w:style>
  <w:style w:type="paragraph" w:styleId="Heading5">
    <w:name w:val="heading 5"/>
    <w:basedOn w:val="Normal"/>
    <w:next w:val="Normal"/>
    <w:qFormat/>
    <w:pPr>
      <w:keepNext/>
      <w:outlineLvl w:val="4"/>
    </w:pPr>
    <w:rPr>
      <w:rFonts w:ascii="Arial" w:hAnsi="Arial" w:cs="Arial"/>
      <w:u w:val="single"/>
    </w:rPr>
  </w:style>
  <w:style w:type="paragraph" w:styleId="Heading6">
    <w:name w:val="heading 6"/>
    <w:basedOn w:val="Normal"/>
    <w:next w:val="Normal"/>
    <w:qFormat/>
    <w:pPr>
      <w:keepNext/>
      <w:jc w:val="both"/>
      <w:outlineLvl w:val="5"/>
    </w:pPr>
    <w:rPr>
      <w:rFonts w:ascii="Arial" w:hAnsi="Arial" w:cs="Arial"/>
      <w:sz w:val="28"/>
      <w:u w:val="single"/>
    </w:rPr>
  </w:style>
  <w:style w:type="paragraph" w:styleId="Heading7">
    <w:name w:val="heading 7"/>
    <w:basedOn w:val="Normal"/>
    <w:next w:val="Normal"/>
    <w:qFormat/>
    <w:pPr>
      <w:keepNext/>
      <w:outlineLvl w:val="6"/>
    </w:pPr>
    <w:rPr>
      <w:rFonts w:ascii="Arial" w:hAnsi="Arial" w:cs="Arial"/>
      <w:sz w:val="28"/>
    </w:rPr>
  </w:style>
  <w:style w:type="paragraph" w:styleId="Heading8">
    <w:name w:val="heading 8"/>
    <w:basedOn w:val="Normal"/>
    <w:next w:val="Normal"/>
    <w:qFormat/>
    <w:pPr>
      <w:keepNext/>
      <w:outlineLvl w:val="7"/>
    </w:pPr>
    <w:rPr>
      <w:rFonts w:ascii="Arial" w:hAnsi="Arial" w:cs="Arial"/>
      <w:b/>
      <w:bCs/>
      <w:u w:val="single"/>
    </w:rPr>
  </w:style>
  <w:style w:type="paragraph" w:styleId="Heading9">
    <w:name w:val="heading 9"/>
    <w:basedOn w:val="Normal"/>
    <w:next w:val="Normal"/>
    <w:qFormat/>
    <w:pPr>
      <w:keepNext/>
      <w:jc w:val="center"/>
      <w:outlineLvl w:val="8"/>
    </w:pPr>
    <w:rPr>
      <w:rFonts w:ascii="Arial" w:hAnsi="Arial" w:cs="Arial"/>
      <w:b/>
      <w:bCs/>
      <w:u w:val="single"/>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BodyText">
    <w:name w:val="Body Text"/>
    <w:basedOn w:val="Normal"/>
    <w:pPr>
      <w:jc w:val="center"/>
    </w:pPr>
    <w:rPr>
      <w:rFonts w:ascii="Arial" w:hAnsi="Arial" w:cs="Arial"/>
      <w:b/>
      <w:bCs/>
      <w:sz w:val="32"/>
      <w:u w:val="single"/>
    </w:r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BodyText2">
    <w:name w:val="Body Text 2"/>
    <w:basedOn w:val="Normal"/>
    <w:pPr>
      <w:jc w:val="both"/>
    </w:pPr>
    <w:rPr>
      <w:rFonts w:ascii="Arial" w:hAnsi="Arial" w:cs="Arial"/>
    </w:rPr>
  </w:style>
  <w:style w:type="character" w:styleId="Hyperlink">
    <w:name w:val="Hyperlink"/>
    <w:rPr>
      <w:rFonts w:cs="Times New Roman"/>
      <w:color w:val="0000FF"/>
      <w:u w:val="single"/>
    </w:rPr>
  </w:style>
  <w:style w:type="paragraph" w:styleId="BodyText3">
    <w:name w:val="Body Text 3"/>
    <w:basedOn w:val="Normal"/>
    <w:rPr>
      <w:rFonts w:ascii="Arial" w:hAnsi="Arial" w:cs="Arial"/>
      <w:sz w:val="21"/>
    </w:rPr>
  </w:style>
  <w:style w:type="paragraph" w:styleId="Title">
    <w:name w:val="Title"/>
    <w:basedOn w:val="Normal"/>
    <w:qFormat/>
    <w:pPr>
      <w:jc w:val="center"/>
    </w:pPr>
    <w:rPr>
      <w:rFonts w:ascii="Arial" w:hAnsi="Arial" w:cs="Arial"/>
      <w:b/>
      <w:bCs/>
      <w:sz w:val="32"/>
      <w:u w:val="single"/>
    </w:rPr>
  </w:style>
  <w:style w:type="paragraph" w:styleId="Subtitle">
    <w:name w:val="Subtitle"/>
    <w:basedOn w:val="Normal"/>
    <w:qFormat/>
    <w:rPr>
      <w:rFonts w:ascii="Arial" w:hAnsi="Arial" w:cs="Arial"/>
      <w:sz w:val="28"/>
      <w:u w:val="single"/>
    </w:rPr>
  </w:style>
  <w:style w:type="paragraph" w:styleId="Caption">
    <w:name w:val="caption"/>
    <w:basedOn w:val="Normal"/>
    <w:next w:val="Normal"/>
    <w:qFormat/>
    <w:rPr>
      <w:rFonts w:ascii="Arial" w:hAnsi="Arial" w:cs="Arial"/>
      <w:u w:val="single"/>
    </w:rPr>
  </w:style>
  <w:style w:type="paragraph" w:styleId="NormalWeb">
    <w:name w:val="Normal (Web)"/>
    <w:basedOn w:val="Normal"/>
    <w:pPr>
      <w:spacing w:before="100" w:beforeAutospacing="1" w:after="100" w:afterAutospacing="1"/>
    </w:pPr>
    <w:rPr>
      <w:rFonts w:ascii="Times New Roman" w:hAnsi="Times New Roman" w:cs="Times New Roman"/>
    </w:rPr>
  </w:style>
  <w:style w:type="character" w:customStyle="1" w:styleId="apple-converted-space">
    <w:name w:val="apple-converted-space"/>
    <w:rPr>
      <w:sz w:val="24"/>
      <w:u w:val="none"/>
    </w:rPr>
  </w:style>
  <w:style w:type="character" w:customStyle="1" w:styleId="slug-issue">
    <w:name w:val="slug-issue"/>
    <w:basedOn w:val="DefaultParagraphFont"/>
  </w:style>
  <w:style w:type="character" w:customStyle="1" w:styleId="st1">
    <w:name w:val="st1"/>
  </w:style>
  <w:style w:type="character" w:customStyle="1" w:styleId="a">
    <w:name w:val="a"/>
    <w:rPr>
      <w:bdr w:val="none" w:sz="0" w:space="0" w:color="auto" w:frame="1"/>
    </w:rPr>
  </w:style>
  <w:style w:type="character" w:customStyle="1" w:styleId="BodyTextChar">
    <w:name w:val="Body Text Char"/>
    <w:semiHidden/>
    <w:locked/>
    <w:rPr>
      <w:rFonts w:ascii="Arial" w:hAnsi="Arial" w:cs="Arial"/>
      <w:sz w:val="24"/>
      <w:szCs w:val="24"/>
      <w:lang w:val="en-US" w:eastAsia="x-none"/>
    </w:rPr>
  </w:style>
  <w:style w:type="character" w:styleId="Emphasis">
    <w:name w:val="Emphasis"/>
    <w:qFormat/>
    <w:rPr>
      <w:i/>
      <w:iCs/>
    </w:rPr>
  </w:style>
  <w:style w:type="character" w:styleId="Strong">
    <w:name w:val="Strong"/>
    <w:qFormat/>
    <w:rPr>
      <w:b/>
      <w:bCs/>
    </w:rPr>
  </w:style>
  <w:style w:type="character" w:customStyle="1" w:styleId="googqs-tidbitgoogqs-tidbit-1">
    <w:name w:val="goog_qs-tidbit goog_qs-tidbit-1"/>
    <w:basedOn w:val="DefaultParagraphFont"/>
  </w:style>
  <w:style w:type="character" w:styleId="FollowedHyperlink">
    <w:name w:val="FollowedHyperlink"/>
    <w:basedOn w:val="DefaultParagraphFont"/>
    <w:rPr>
      <w:color w:val="800080"/>
      <w:u w:val="single"/>
    </w:rPr>
  </w:style>
  <w:style w:type="paragraph" w:styleId="Header">
    <w:name w:val="header"/>
    <w:basedOn w:val="Normal"/>
    <w:pPr>
      <w:tabs>
        <w:tab w:val="center" w:pos="4320"/>
        <w:tab w:val="right" w:pos="8640"/>
      </w:tabs>
    </w:pPr>
  </w:style>
  <w:style w:type="character" w:customStyle="1" w:styleId="loginovrcontent">
    <w:name w:val="loginovrcontent"/>
    <w:basedOn w:val="DefaultParagraphFont"/>
  </w:style>
  <w:style w:type="character" w:styleId="HTMLCite">
    <w:name w:val="HTML Cite"/>
    <w:basedOn w:val="DefaultParagraphFont"/>
    <w:rPr>
      <w:i/>
      <w:iCs/>
    </w:rPr>
  </w:style>
  <w:style w:type="character" w:customStyle="1" w:styleId="cit-auth">
    <w:name w:val="cit-auth"/>
    <w:basedOn w:val="DefaultParagraphFont"/>
  </w:style>
  <w:style w:type="character" w:customStyle="1" w:styleId="cit-name-surname">
    <w:name w:val="cit-name-surname"/>
    <w:basedOn w:val="DefaultParagraphFont"/>
  </w:style>
  <w:style w:type="character" w:customStyle="1" w:styleId="cit-name-given-names">
    <w:name w:val="cit-name-given-names"/>
    <w:basedOn w:val="DefaultParagraphFont"/>
  </w:style>
  <w:style w:type="character" w:customStyle="1" w:styleId="cit-article-title">
    <w:name w:val="cit-article-title"/>
    <w:basedOn w:val="DefaultParagraphFont"/>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rFonts w:ascii="Tahoma" w:hAnsi="Tahoma" w:cs="Tahoma"/>
      <w:sz w:val="24"/>
      <w:szCs w:val="24"/>
      <w:lang w:val="en-US" w:eastAsia="en-US"/>
    </w:rPr>
  </w:style>
  <w:style w:type="paragraph" w:styleId="Heading1">
    <w:name w:val="heading 1"/>
    <w:basedOn w:val="Normal"/>
    <w:next w:val="Normal"/>
    <w:qFormat/>
    <w:pPr>
      <w:keepNext/>
      <w:jc w:val="center"/>
      <w:outlineLvl w:val="0"/>
    </w:pPr>
    <w:rPr>
      <w:rFonts w:ascii="Arial" w:hAnsi="Arial" w:cs="Arial"/>
      <w:b/>
      <w:bCs/>
      <w:sz w:val="28"/>
      <w:u w:val="single"/>
    </w:rPr>
  </w:style>
  <w:style w:type="paragraph" w:styleId="Heading2">
    <w:name w:val="heading 2"/>
    <w:basedOn w:val="Normal"/>
    <w:next w:val="Normal"/>
    <w:qFormat/>
    <w:pPr>
      <w:keepNext/>
      <w:jc w:val="center"/>
      <w:outlineLvl w:val="1"/>
    </w:pPr>
    <w:rPr>
      <w:rFonts w:ascii="Arial" w:hAnsi="Arial" w:cs="Arial"/>
      <w:b/>
      <w:bCs/>
      <w:sz w:val="32"/>
      <w:u w:val="single"/>
    </w:rPr>
  </w:style>
  <w:style w:type="paragraph" w:styleId="Heading3">
    <w:name w:val="heading 3"/>
    <w:basedOn w:val="Normal"/>
    <w:next w:val="Normal"/>
    <w:qFormat/>
    <w:pPr>
      <w:keepNext/>
      <w:jc w:val="both"/>
      <w:outlineLvl w:val="2"/>
    </w:pPr>
    <w:rPr>
      <w:rFonts w:ascii="Arial" w:hAnsi="Arial" w:cs="Arial"/>
      <w:sz w:val="28"/>
    </w:rPr>
  </w:style>
  <w:style w:type="paragraph" w:styleId="Heading4">
    <w:name w:val="heading 4"/>
    <w:basedOn w:val="Normal"/>
    <w:next w:val="Normal"/>
    <w:qFormat/>
    <w:pPr>
      <w:keepNext/>
      <w:autoSpaceDE w:val="0"/>
      <w:autoSpaceDN w:val="0"/>
      <w:adjustRightInd w:val="0"/>
      <w:outlineLvl w:val="3"/>
    </w:pPr>
    <w:rPr>
      <w:rFonts w:ascii="Arial" w:hAnsi="Arial" w:cs="Arial"/>
      <w:sz w:val="28"/>
      <w:szCs w:val="28"/>
      <w:u w:val="single"/>
    </w:rPr>
  </w:style>
  <w:style w:type="paragraph" w:styleId="Heading5">
    <w:name w:val="heading 5"/>
    <w:basedOn w:val="Normal"/>
    <w:next w:val="Normal"/>
    <w:qFormat/>
    <w:pPr>
      <w:keepNext/>
      <w:outlineLvl w:val="4"/>
    </w:pPr>
    <w:rPr>
      <w:rFonts w:ascii="Arial" w:hAnsi="Arial" w:cs="Arial"/>
      <w:u w:val="single"/>
    </w:rPr>
  </w:style>
  <w:style w:type="paragraph" w:styleId="Heading6">
    <w:name w:val="heading 6"/>
    <w:basedOn w:val="Normal"/>
    <w:next w:val="Normal"/>
    <w:qFormat/>
    <w:pPr>
      <w:keepNext/>
      <w:jc w:val="both"/>
      <w:outlineLvl w:val="5"/>
    </w:pPr>
    <w:rPr>
      <w:rFonts w:ascii="Arial" w:hAnsi="Arial" w:cs="Arial"/>
      <w:sz w:val="28"/>
      <w:u w:val="single"/>
    </w:rPr>
  </w:style>
  <w:style w:type="paragraph" w:styleId="Heading7">
    <w:name w:val="heading 7"/>
    <w:basedOn w:val="Normal"/>
    <w:next w:val="Normal"/>
    <w:qFormat/>
    <w:pPr>
      <w:keepNext/>
      <w:outlineLvl w:val="6"/>
    </w:pPr>
    <w:rPr>
      <w:rFonts w:ascii="Arial" w:hAnsi="Arial" w:cs="Arial"/>
      <w:sz w:val="28"/>
    </w:rPr>
  </w:style>
  <w:style w:type="paragraph" w:styleId="Heading8">
    <w:name w:val="heading 8"/>
    <w:basedOn w:val="Normal"/>
    <w:next w:val="Normal"/>
    <w:qFormat/>
    <w:pPr>
      <w:keepNext/>
      <w:outlineLvl w:val="7"/>
    </w:pPr>
    <w:rPr>
      <w:rFonts w:ascii="Arial" w:hAnsi="Arial" w:cs="Arial"/>
      <w:b/>
      <w:bCs/>
      <w:u w:val="single"/>
    </w:rPr>
  </w:style>
  <w:style w:type="paragraph" w:styleId="Heading9">
    <w:name w:val="heading 9"/>
    <w:basedOn w:val="Normal"/>
    <w:next w:val="Normal"/>
    <w:qFormat/>
    <w:pPr>
      <w:keepNext/>
      <w:jc w:val="center"/>
      <w:outlineLvl w:val="8"/>
    </w:pPr>
    <w:rPr>
      <w:rFonts w:ascii="Arial" w:hAnsi="Arial" w:cs="Arial"/>
      <w:b/>
      <w:bCs/>
      <w:u w:val="single"/>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BodyText">
    <w:name w:val="Body Text"/>
    <w:basedOn w:val="Normal"/>
    <w:pPr>
      <w:jc w:val="center"/>
    </w:pPr>
    <w:rPr>
      <w:rFonts w:ascii="Arial" w:hAnsi="Arial" w:cs="Arial"/>
      <w:b/>
      <w:bCs/>
      <w:sz w:val="32"/>
      <w:u w:val="single"/>
    </w:r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BodyText2">
    <w:name w:val="Body Text 2"/>
    <w:basedOn w:val="Normal"/>
    <w:pPr>
      <w:jc w:val="both"/>
    </w:pPr>
    <w:rPr>
      <w:rFonts w:ascii="Arial" w:hAnsi="Arial" w:cs="Arial"/>
    </w:rPr>
  </w:style>
  <w:style w:type="character" w:styleId="Hyperlink">
    <w:name w:val="Hyperlink"/>
    <w:rPr>
      <w:rFonts w:cs="Times New Roman"/>
      <w:color w:val="0000FF"/>
      <w:u w:val="single"/>
    </w:rPr>
  </w:style>
  <w:style w:type="paragraph" w:styleId="BodyText3">
    <w:name w:val="Body Text 3"/>
    <w:basedOn w:val="Normal"/>
    <w:rPr>
      <w:rFonts w:ascii="Arial" w:hAnsi="Arial" w:cs="Arial"/>
      <w:sz w:val="21"/>
    </w:rPr>
  </w:style>
  <w:style w:type="paragraph" w:styleId="Title">
    <w:name w:val="Title"/>
    <w:basedOn w:val="Normal"/>
    <w:qFormat/>
    <w:pPr>
      <w:jc w:val="center"/>
    </w:pPr>
    <w:rPr>
      <w:rFonts w:ascii="Arial" w:hAnsi="Arial" w:cs="Arial"/>
      <w:b/>
      <w:bCs/>
      <w:sz w:val="32"/>
      <w:u w:val="single"/>
    </w:rPr>
  </w:style>
  <w:style w:type="paragraph" w:styleId="Subtitle">
    <w:name w:val="Subtitle"/>
    <w:basedOn w:val="Normal"/>
    <w:qFormat/>
    <w:rPr>
      <w:rFonts w:ascii="Arial" w:hAnsi="Arial" w:cs="Arial"/>
      <w:sz w:val="28"/>
      <w:u w:val="single"/>
    </w:rPr>
  </w:style>
  <w:style w:type="paragraph" w:styleId="Caption">
    <w:name w:val="caption"/>
    <w:basedOn w:val="Normal"/>
    <w:next w:val="Normal"/>
    <w:qFormat/>
    <w:rPr>
      <w:rFonts w:ascii="Arial" w:hAnsi="Arial" w:cs="Arial"/>
      <w:u w:val="single"/>
    </w:rPr>
  </w:style>
  <w:style w:type="paragraph" w:styleId="NormalWeb">
    <w:name w:val="Normal (Web)"/>
    <w:basedOn w:val="Normal"/>
    <w:pPr>
      <w:spacing w:before="100" w:beforeAutospacing="1" w:after="100" w:afterAutospacing="1"/>
    </w:pPr>
    <w:rPr>
      <w:rFonts w:ascii="Times New Roman" w:hAnsi="Times New Roman" w:cs="Times New Roman"/>
    </w:rPr>
  </w:style>
  <w:style w:type="character" w:customStyle="1" w:styleId="apple-converted-space">
    <w:name w:val="apple-converted-space"/>
    <w:rPr>
      <w:sz w:val="24"/>
      <w:u w:val="none"/>
    </w:rPr>
  </w:style>
  <w:style w:type="character" w:customStyle="1" w:styleId="slug-issue">
    <w:name w:val="slug-issue"/>
    <w:basedOn w:val="DefaultParagraphFont"/>
  </w:style>
  <w:style w:type="character" w:customStyle="1" w:styleId="st1">
    <w:name w:val="st1"/>
  </w:style>
  <w:style w:type="character" w:customStyle="1" w:styleId="a">
    <w:name w:val="a"/>
    <w:rPr>
      <w:bdr w:val="none" w:sz="0" w:space="0" w:color="auto" w:frame="1"/>
    </w:rPr>
  </w:style>
  <w:style w:type="character" w:customStyle="1" w:styleId="BodyTextChar">
    <w:name w:val="Body Text Char"/>
    <w:semiHidden/>
    <w:locked/>
    <w:rPr>
      <w:rFonts w:ascii="Arial" w:hAnsi="Arial" w:cs="Arial"/>
      <w:sz w:val="24"/>
      <w:szCs w:val="24"/>
      <w:lang w:val="en-US" w:eastAsia="x-none"/>
    </w:rPr>
  </w:style>
  <w:style w:type="character" w:styleId="Emphasis">
    <w:name w:val="Emphasis"/>
    <w:qFormat/>
    <w:rPr>
      <w:i/>
      <w:iCs/>
    </w:rPr>
  </w:style>
  <w:style w:type="character" w:styleId="Strong">
    <w:name w:val="Strong"/>
    <w:qFormat/>
    <w:rPr>
      <w:b/>
      <w:bCs/>
    </w:rPr>
  </w:style>
  <w:style w:type="character" w:customStyle="1" w:styleId="googqs-tidbitgoogqs-tidbit-1">
    <w:name w:val="goog_qs-tidbit goog_qs-tidbit-1"/>
    <w:basedOn w:val="DefaultParagraphFont"/>
  </w:style>
  <w:style w:type="character" w:styleId="FollowedHyperlink">
    <w:name w:val="FollowedHyperlink"/>
    <w:basedOn w:val="DefaultParagraphFont"/>
    <w:rPr>
      <w:color w:val="800080"/>
      <w:u w:val="single"/>
    </w:rPr>
  </w:style>
  <w:style w:type="paragraph" w:styleId="Header">
    <w:name w:val="header"/>
    <w:basedOn w:val="Normal"/>
    <w:pPr>
      <w:tabs>
        <w:tab w:val="center" w:pos="4320"/>
        <w:tab w:val="right" w:pos="8640"/>
      </w:tabs>
    </w:pPr>
  </w:style>
  <w:style w:type="character" w:customStyle="1" w:styleId="loginovrcontent">
    <w:name w:val="loginovrcontent"/>
    <w:basedOn w:val="DefaultParagraphFont"/>
  </w:style>
  <w:style w:type="character" w:styleId="HTMLCite">
    <w:name w:val="HTML Cite"/>
    <w:basedOn w:val="DefaultParagraphFont"/>
    <w:rPr>
      <w:i/>
      <w:iCs/>
    </w:rPr>
  </w:style>
  <w:style w:type="character" w:customStyle="1" w:styleId="cit-auth">
    <w:name w:val="cit-auth"/>
    <w:basedOn w:val="DefaultParagraphFont"/>
  </w:style>
  <w:style w:type="character" w:customStyle="1" w:styleId="cit-name-surname">
    <w:name w:val="cit-name-surname"/>
    <w:basedOn w:val="DefaultParagraphFont"/>
  </w:style>
  <w:style w:type="character" w:customStyle="1" w:styleId="cit-name-given-names">
    <w:name w:val="cit-name-given-names"/>
    <w:basedOn w:val="DefaultParagraphFont"/>
  </w:style>
  <w:style w:type="character" w:customStyle="1" w:styleId="cit-article-title">
    <w:name w:val="cit-article-title"/>
    <w:basedOn w:val="DefaultParagraphFon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targetScreenSz w:val="800x600"/>
</w:webSettings>
</file>

<file path=word/_rels/document.xml.rels><?xml version="1.0" encoding="UTF-8" standalone="yes"?>
<Relationships xmlns="http://schemas.openxmlformats.org/package/2006/relationships"><Relationship Id="rId26" Type="http://schemas.openxmlformats.org/officeDocument/2006/relationships/chart" Target="charts/chart5.xml"/><Relationship Id="rId21" Type="http://schemas.openxmlformats.org/officeDocument/2006/relationships/oleObject" Target="embeddings/oleObject3.bin"/><Relationship Id="rId42" Type="http://schemas.openxmlformats.org/officeDocument/2006/relationships/oleObject" Target="embeddings/oleObject8.bin"/><Relationship Id="rId47" Type="http://schemas.openxmlformats.org/officeDocument/2006/relationships/chart" Target="charts/chart14.xml"/><Relationship Id="rId63" Type="http://schemas.openxmlformats.org/officeDocument/2006/relationships/hyperlink" Target="http://www.doc.govt.nz/documents/science-and-technical/casn186.pdf.html" TargetMode="External"/><Relationship Id="rId68" Type="http://schemas.openxmlformats.org/officeDocument/2006/relationships/hyperlink" Target="http://www.tree-ring.co.uk/Tree-ring%20Dating/Tree-Ring%20Dating.html" TargetMode="External"/><Relationship Id="rId84" Type="http://schemas.openxmlformats.org/officeDocument/2006/relationships/hyperlink" Target="http://www.uclan.ac.uk/health/research/data_storage.php" TargetMode="External"/><Relationship Id="rId89" Type="http://schemas.openxmlformats.org/officeDocument/2006/relationships/image" Target="media/image16.png"/><Relationship Id="rId112"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oleObject" Target="embeddings/oleObject1.bin"/><Relationship Id="rId29" Type="http://schemas.openxmlformats.org/officeDocument/2006/relationships/image" Target="media/image9.wmf"/><Relationship Id="rId107" Type="http://schemas.openxmlformats.org/officeDocument/2006/relationships/oleObject" Target="embeddings/oleObject18.bin"/><Relationship Id="rId11" Type="http://schemas.openxmlformats.org/officeDocument/2006/relationships/image" Target="media/image1.wmf"/><Relationship Id="rId24" Type="http://schemas.openxmlformats.org/officeDocument/2006/relationships/chart" Target="charts/chart3.xml"/><Relationship Id="rId32" Type="http://schemas.openxmlformats.org/officeDocument/2006/relationships/image" Target="media/image10.wmf"/><Relationship Id="rId37" Type="http://schemas.openxmlformats.org/officeDocument/2006/relationships/chart" Target="charts/chart10.xml"/><Relationship Id="rId40" Type="http://schemas.openxmlformats.org/officeDocument/2006/relationships/chart" Target="charts/chart11.xml"/><Relationship Id="rId45" Type="http://schemas.openxmlformats.org/officeDocument/2006/relationships/oleObject" Target="embeddings/oleObject9.bin"/><Relationship Id="rId53" Type="http://schemas.openxmlformats.org/officeDocument/2006/relationships/hyperlink" Target="http://www.ifpindia.org/Factors-affecting-tree-diameter-growth.html" TargetMode="External"/><Relationship Id="rId58" Type="http://schemas.openxmlformats.org/officeDocument/2006/relationships/hyperlink" Target="http://www.cru.uea.ac.uk/cru/posters/2000-03-TM-intraring.pdf.html" TargetMode="External"/><Relationship Id="rId66" Type="http://schemas.openxmlformats.org/officeDocument/2006/relationships/hyperlink" Target="http://txforestservice.tamu.edu/main/popup.aspx?id=1283.%20html" TargetMode="External"/><Relationship Id="rId74" Type="http://schemas.openxmlformats.org/officeDocument/2006/relationships/hyperlink" Target="http://www.uclan.ac.uk/information/services/fm/safety_and_health/school_visits.php" TargetMode="External"/><Relationship Id="rId79" Type="http://schemas.openxmlformats.org/officeDocument/2006/relationships/hyperlink" Target="http://www.uclan.ac.uk/information/services/sds/dpa_foia_management/advice.php" TargetMode="External"/><Relationship Id="rId87" Type="http://schemas.openxmlformats.org/officeDocument/2006/relationships/hyperlink" Target="http://www.uclan.ac.uk/information/services/fm/safety_and_health/risk_assessment_guidance.php" TargetMode="External"/><Relationship Id="rId102" Type="http://schemas.openxmlformats.org/officeDocument/2006/relationships/image" Target="media/image22.wmf"/><Relationship Id="rId110" Type="http://schemas.openxmlformats.org/officeDocument/2006/relationships/image" Target="media/image26.wmf"/><Relationship Id="rId5" Type="http://schemas.openxmlformats.org/officeDocument/2006/relationships/webSettings" Target="webSettings.xml"/><Relationship Id="rId61" Type="http://schemas.openxmlformats.org/officeDocument/2006/relationships/hyperlink" Target="http://capone.mtsu.edu/dkfuller/tables/correlationtable.pdf.html" TargetMode="External"/><Relationship Id="rId82" Type="http://schemas.openxmlformats.org/officeDocument/2006/relationships/hyperlink" Target="http://www.uclan.ac.uk/information/services/sds/dpa_foia_management/DP_code_of_practice.php" TargetMode="External"/><Relationship Id="rId90" Type="http://schemas.openxmlformats.org/officeDocument/2006/relationships/oleObject" Target="embeddings/oleObject10.bin"/><Relationship Id="rId95" Type="http://schemas.openxmlformats.org/officeDocument/2006/relationships/oleObject" Target="embeddings/oleObject12.bin"/><Relationship Id="rId19" Type="http://schemas.openxmlformats.org/officeDocument/2006/relationships/image" Target="media/image7.png"/><Relationship Id="rId14" Type="http://schemas.openxmlformats.org/officeDocument/2006/relationships/image" Target="media/image4.png"/><Relationship Id="rId22" Type="http://schemas.openxmlformats.org/officeDocument/2006/relationships/chart" Target="charts/chart1.xml"/><Relationship Id="rId27" Type="http://schemas.openxmlformats.org/officeDocument/2006/relationships/chart" Target="charts/chart6.xml"/><Relationship Id="rId30" Type="http://schemas.openxmlformats.org/officeDocument/2006/relationships/oleObject" Target="embeddings/oleObject4.bin"/><Relationship Id="rId35" Type="http://schemas.openxmlformats.org/officeDocument/2006/relationships/image" Target="media/image11.wmf"/><Relationship Id="rId43" Type="http://schemas.openxmlformats.org/officeDocument/2006/relationships/chart" Target="charts/chart12.xml"/><Relationship Id="rId48" Type="http://schemas.openxmlformats.org/officeDocument/2006/relationships/chart" Target="charts/chart15.xml"/><Relationship Id="rId56" Type="http://schemas.openxmlformats.org/officeDocument/2006/relationships/hyperlink" Target="http://munin.uit.no/bitstream/handle/10037/2412/%20paper_3.pdf?sequence=1.html" TargetMode="External"/><Relationship Id="rId64" Type="http://schemas.openxmlformats.org/officeDocument/2006/relationships/hyperlink" Target="http://link.springer.com/article/10.1007%2Fs00468-013-0845-5#.html" TargetMode="External"/><Relationship Id="rId69" Type="http://schemas.openxmlformats.org/officeDocument/2006/relationships/hyperlink" Target="http://www.geog.ucsb.edu/~williams/geog167lab/treeringresearchlab.pdf.html" TargetMode="External"/><Relationship Id="rId77" Type="http://schemas.openxmlformats.org/officeDocument/2006/relationships/hyperlink" Target="http://www.city.ac.uk/acdev/academic_framework/re/guidance_consent.html" TargetMode="External"/><Relationship Id="rId100" Type="http://schemas.openxmlformats.org/officeDocument/2006/relationships/image" Target="media/image21.wmf"/><Relationship Id="rId105" Type="http://schemas.openxmlformats.org/officeDocument/2006/relationships/oleObject" Target="embeddings/oleObject17.bin"/><Relationship Id="rId113"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chart" Target="charts/chart18.xml"/><Relationship Id="rId72" Type="http://schemas.openxmlformats.org/officeDocument/2006/relationships/hyperlink" Target="http://www.uclan.ac.uk/information/services/fm/safety_and_health/staff_travel.php" TargetMode="External"/><Relationship Id="rId80" Type="http://schemas.openxmlformats.org/officeDocument/2006/relationships/hyperlink" Target="http://www.uclan.ac.uk/information/services/sds/dpa_foia_management/DP_code_of_practice.php" TargetMode="External"/><Relationship Id="rId85" Type="http://schemas.openxmlformats.org/officeDocument/2006/relationships/hyperlink" Target="http://www.uclan.ac.uk/information/services/fm/safety_and_health/coshh.php" TargetMode="External"/><Relationship Id="rId93" Type="http://schemas.openxmlformats.org/officeDocument/2006/relationships/chart" Target="charts/chart19.xml"/><Relationship Id="rId98" Type="http://schemas.openxmlformats.org/officeDocument/2006/relationships/image" Target="media/image20.wmf"/><Relationship Id="rId3" Type="http://schemas.microsoft.com/office/2007/relationships/stylesWithEffects" Target="stylesWithEffects.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chart" Target="charts/chart4.xml"/><Relationship Id="rId33" Type="http://schemas.openxmlformats.org/officeDocument/2006/relationships/oleObject" Target="embeddings/oleObject5.bin"/><Relationship Id="rId38" Type="http://schemas.openxmlformats.org/officeDocument/2006/relationships/image" Target="media/image12.wmf"/><Relationship Id="rId46" Type="http://schemas.openxmlformats.org/officeDocument/2006/relationships/chart" Target="charts/chart13.xml"/><Relationship Id="rId59" Type="http://schemas.openxmlformats.org/officeDocument/2006/relationships/hyperlink" Target="http://www.metoffice.gov.uk/climate/uk/stationdata/.html" TargetMode="External"/><Relationship Id="rId67" Type="http://schemas.openxmlformats.org/officeDocument/2006/relationships/hyperlink" Target="http://ltrr.arizona.edu/about/treerings.html" TargetMode="External"/><Relationship Id="rId103" Type="http://schemas.openxmlformats.org/officeDocument/2006/relationships/oleObject" Target="embeddings/oleObject16.bin"/><Relationship Id="rId108" Type="http://schemas.openxmlformats.org/officeDocument/2006/relationships/image" Target="media/image25.wmf"/><Relationship Id="rId20" Type="http://schemas.openxmlformats.org/officeDocument/2006/relationships/image" Target="media/image8.png"/><Relationship Id="rId41" Type="http://schemas.openxmlformats.org/officeDocument/2006/relationships/image" Target="media/image13.wmf"/><Relationship Id="rId54" Type="http://schemas.openxmlformats.org/officeDocument/2006/relationships/hyperlink" Target="http://web.utk.edu/~grissino/principles.html" TargetMode="External"/><Relationship Id="rId62" Type="http://schemas.openxmlformats.org/officeDocument/2006/relationships/hyperlink" Target="http://www.ncdc.noaa.gov/paleo/treering.html" TargetMode="External"/><Relationship Id="rId70" Type="http://schemas.openxmlformats.org/officeDocument/2006/relationships/hyperlink" Target="http://www.uclan.ac.uk/information/services/fm/safety_and_health/field_trips.php" TargetMode="External"/><Relationship Id="rId75" Type="http://schemas.openxmlformats.org/officeDocument/2006/relationships/hyperlink" Target="http://www.lboro.ac.uk/admin/personnel/recordchecks.html" TargetMode="External"/><Relationship Id="rId83" Type="http://schemas.openxmlformats.org/officeDocument/2006/relationships/hyperlink" Target="http://www.uclan.ac.uk/health/research/data_storage.php" TargetMode="External"/><Relationship Id="rId88" Type="http://schemas.openxmlformats.org/officeDocument/2006/relationships/image" Target="media/image15.jpeg"/><Relationship Id="rId91" Type="http://schemas.openxmlformats.org/officeDocument/2006/relationships/image" Target="media/image17.png"/><Relationship Id="rId96" Type="http://schemas.openxmlformats.org/officeDocument/2006/relationships/image" Target="media/image19.wmf"/><Relationship Id="rId111" Type="http://schemas.openxmlformats.org/officeDocument/2006/relationships/oleObject" Target="embeddings/oleObject20.bin"/><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chart" Target="charts/chart2.xml"/><Relationship Id="rId28" Type="http://schemas.openxmlformats.org/officeDocument/2006/relationships/chart" Target="charts/chart7.xml"/><Relationship Id="rId36" Type="http://schemas.openxmlformats.org/officeDocument/2006/relationships/oleObject" Target="embeddings/oleObject6.bin"/><Relationship Id="rId49" Type="http://schemas.openxmlformats.org/officeDocument/2006/relationships/chart" Target="charts/chart16.xml"/><Relationship Id="rId57" Type="http://schemas.openxmlformats.org/officeDocument/2006/relationships/hyperlink" Target="http://mario.lancashire.gov.uk/agsmario/.html" TargetMode="External"/><Relationship Id="rId106" Type="http://schemas.openxmlformats.org/officeDocument/2006/relationships/image" Target="media/image24.wmf"/><Relationship Id="rId10" Type="http://schemas.openxmlformats.org/officeDocument/2006/relationships/hyperlink" Target="http://treephys.oxfordjournals.org/content/30/6/" TargetMode="External"/><Relationship Id="rId31" Type="http://schemas.openxmlformats.org/officeDocument/2006/relationships/chart" Target="charts/chart8.xml"/><Relationship Id="rId44" Type="http://schemas.openxmlformats.org/officeDocument/2006/relationships/image" Target="media/image14.wmf"/><Relationship Id="rId52" Type="http://schemas.openxmlformats.org/officeDocument/2006/relationships/hyperlink" Target="http://digimap.edina.ac.uk/%20roam/mapper.html" TargetMode="External"/><Relationship Id="rId60" Type="http://schemas.openxmlformats.org/officeDocument/2006/relationships/hyperlink" Target="http://www.metoffice.gov.uk/climate/uk/summaries/anomacts.html" TargetMode="External"/><Relationship Id="rId65" Type="http://schemas.openxmlformats.org/officeDocument/2006/relationships/hyperlink" Target="http://en.poland.gov.pl/Climate,7256.html" TargetMode="External"/><Relationship Id="rId73" Type="http://schemas.openxmlformats.org/officeDocument/2006/relationships/hyperlink" Target="http://www.uclan.ac.uk/information/services/fm/safety_and_health/lone_working.php" TargetMode="External"/><Relationship Id="rId78" Type="http://schemas.openxmlformats.org/officeDocument/2006/relationships/hyperlink" Target="http://www.uclan.ac.uk/information/services/sds/dpa_foia_management/data_protection.php" TargetMode="External"/><Relationship Id="rId81" Type="http://schemas.openxmlformats.org/officeDocument/2006/relationships/hyperlink" Target="http://www.uclan.ac.uk/information/services/sds/dpa_foia_management/advice.php" TargetMode="External"/><Relationship Id="rId86" Type="http://schemas.openxmlformats.org/officeDocument/2006/relationships/hyperlink" Target="http://www.uclan.ac.uk/information/services/fm/environment/files/Hazardous_Waste_Disposal_GuidancePDF.pdf" TargetMode="External"/><Relationship Id="rId94" Type="http://schemas.openxmlformats.org/officeDocument/2006/relationships/image" Target="media/image18.wmf"/><Relationship Id="rId99" Type="http://schemas.openxmlformats.org/officeDocument/2006/relationships/oleObject" Target="embeddings/oleObject14.bin"/><Relationship Id="rId101" Type="http://schemas.openxmlformats.org/officeDocument/2006/relationships/oleObject" Target="embeddings/oleObject15.bin"/><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3.png"/><Relationship Id="rId18" Type="http://schemas.openxmlformats.org/officeDocument/2006/relationships/oleObject" Target="embeddings/oleObject2.bin"/><Relationship Id="rId39" Type="http://schemas.openxmlformats.org/officeDocument/2006/relationships/oleObject" Target="embeddings/oleObject7.bin"/><Relationship Id="rId109" Type="http://schemas.openxmlformats.org/officeDocument/2006/relationships/oleObject" Target="embeddings/oleObject19.bin"/><Relationship Id="rId34" Type="http://schemas.openxmlformats.org/officeDocument/2006/relationships/chart" Target="charts/chart9.xml"/><Relationship Id="rId50" Type="http://schemas.openxmlformats.org/officeDocument/2006/relationships/chart" Target="charts/chart17.xml"/><Relationship Id="rId55" Type="http://schemas.openxmlformats.org/officeDocument/2006/relationships/hyperlink" Target="http://www.u.arizona.edu/~dgriffin/misc/increment_core_sampling.%20pdf.html" TargetMode="External"/><Relationship Id="rId76" Type="http://schemas.openxmlformats.org/officeDocument/2006/relationships/hyperlink" Target="http://www.uclan.ac.uk/information/services/sas/admissions/staff_list.php" TargetMode="External"/><Relationship Id="rId97" Type="http://schemas.openxmlformats.org/officeDocument/2006/relationships/oleObject" Target="embeddings/oleObject13.bin"/><Relationship Id="rId104" Type="http://schemas.openxmlformats.org/officeDocument/2006/relationships/image" Target="media/image23.wmf"/><Relationship Id="rId7" Type="http://schemas.openxmlformats.org/officeDocument/2006/relationships/endnotes" Target="endnotes.xml"/><Relationship Id="rId71" Type="http://schemas.openxmlformats.org/officeDocument/2006/relationships/hyperlink" Target="http://www.uclan.ac.uk/information/services/fm/safety_and_health/staff_travel.php" TargetMode="External"/><Relationship Id="rId92" Type="http://schemas.openxmlformats.org/officeDocument/2006/relationships/oleObject" Target="embeddings/oleObject11.bin"/></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23" b="1" i="0" u="none" strike="noStrike" baseline="0">
                <a:solidFill>
                  <a:srgbClr val="000000"/>
                </a:solidFill>
                <a:latin typeface="Arial"/>
                <a:ea typeface="Arial"/>
                <a:cs typeface="Arial"/>
              </a:defRPr>
            </a:pPr>
            <a:r>
              <a:t>Average Sycamore ring widths (mm)</a:t>
            </a:r>
          </a:p>
        </c:rich>
      </c:tx>
      <c:layout>
        <c:manualLayout>
          <c:xMode val="edge"/>
          <c:yMode val="edge"/>
          <c:x val="0.17523809523809525"/>
          <c:y val="2.0746887966804978E-2"/>
        </c:manualLayout>
      </c:layout>
      <c:overlay val="0"/>
      <c:spPr>
        <a:noFill/>
        <a:ln w="25366">
          <a:noFill/>
        </a:ln>
      </c:spPr>
    </c:title>
    <c:autoTitleDeleted val="0"/>
    <c:plotArea>
      <c:layout>
        <c:manualLayout>
          <c:layoutTarget val="inner"/>
          <c:xMode val="edge"/>
          <c:yMode val="edge"/>
          <c:x val="0.17523809523809525"/>
          <c:y val="0.26970954356846472"/>
          <c:w val="0.76761904761904765"/>
          <c:h val="0.44398340248962653"/>
        </c:manualLayout>
      </c:layout>
      <c:scatterChart>
        <c:scatterStyle val="smoothMarker"/>
        <c:varyColors val="0"/>
        <c:ser>
          <c:idx val="0"/>
          <c:order val="0"/>
          <c:spPr>
            <a:ln w="38050">
              <a:solidFill>
                <a:srgbClr val="FF9900"/>
              </a:solidFill>
              <a:prstDash val="solid"/>
            </a:ln>
          </c:spPr>
          <c:marker>
            <c:symbol val="square"/>
            <c:size val="7"/>
            <c:spPr>
              <a:noFill/>
              <a:ln w="9512">
                <a:noFill/>
              </a:ln>
            </c:spPr>
          </c:marker>
          <c:xVal>
            <c:numRef>
              <c:f>Sheet1!$A$1:$A$41</c:f>
              <c:numCache>
                <c:formatCode>General</c:formatCode>
                <c:ptCount val="41"/>
                <c:pt idx="0">
                  <c:v>2012</c:v>
                </c:pt>
                <c:pt idx="1">
                  <c:v>2011</c:v>
                </c:pt>
                <c:pt idx="2">
                  <c:v>2010</c:v>
                </c:pt>
                <c:pt idx="3">
                  <c:v>2009</c:v>
                </c:pt>
                <c:pt idx="4">
                  <c:v>2008</c:v>
                </c:pt>
                <c:pt idx="5">
                  <c:v>2007</c:v>
                </c:pt>
                <c:pt idx="6">
                  <c:v>2006</c:v>
                </c:pt>
                <c:pt idx="7">
                  <c:v>2005</c:v>
                </c:pt>
                <c:pt idx="8">
                  <c:v>2004</c:v>
                </c:pt>
                <c:pt idx="9">
                  <c:v>2003</c:v>
                </c:pt>
                <c:pt idx="10">
                  <c:v>2002</c:v>
                </c:pt>
                <c:pt idx="11">
                  <c:v>2001</c:v>
                </c:pt>
                <c:pt idx="12">
                  <c:v>2000</c:v>
                </c:pt>
                <c:pt idx="13">
                  <c:v>1999</c:v>
                </c:pt>
                <c:pt idx="14">
                  <c:v>1998</c:v>
                </c:pt>
                <c:pt idx="15">
                  <c:v>1997</c:v>
                </c:pt>
                <c:pt idx="16">
                  <c:v>1996</c:v>
                </c:pt>
                <c:pt idx="17">
                  <c:v>1995</c:v>
                </c:pt>
                <c:pt idx="18">
                  <c:v>1994</c:v>
                </c:pt>
                <c:pt idx="19">
                  <c:v>1993</c:v>
                </c:pt>
                <c:pt idx="20">
                  <c:v>1992</c:v>
                </c:pt>
                <c:pt idx="21">
                  <c:v>1991</c:v>
                </c:pt>
                <c:pt idx="22">
                  <c:v>1990</c:v>
                </c:pt>
                <c:pt idx="23">
                  <c:v>1989</c:v>
                </c:pt>
                <c:pt idx="24">
                  <c:v>1988</c:v>
                </c:pt>
                <c:pt idx="25">
                  <c:v>1987</c:v>
                </c:pt>
                <c:pt idx="26">
                  <c:v>1986</c:v>
                </c:pt>
                <c:pt idx="27">
                  <c:v>1985</c:v>
                </c:pt>
                <c:pt idx="28">
                  <c:v>1984</c:v>
                </c:pt>
                <c:pt idx="29">
                  <c:v>1983</c:v>
                </c:pt>
                <c:pt idx="30">
                  <c:v>1982</c:v>
                </c:pt>
                <c:pt idx="31">
                  <c:v>1981</c:v>
                </c:pt>
                <c:pt idx="32">
                  <c:v>1980</c:v>
                </c:pt>
                <c:pt idx="33">
                  <c:v>1979</c:v>
                </c:pt>
                <c:pt idx="34">
                  <c:v>1978</c:v>
                </c:pt>
                <c:pt idx="35">
                  <c:v>1977</c:v>
                </c:pt>
                <c:pt idx="36">
                  <c:v>1976</c:v>
                </c:pt>
                <c:pt idx="37">
                  <c:v>1975</c:v>
                </c:pt>
                <c:pt idx="38">
                  <c:v>1974</c:v>
                </c:pt>
                <c:pt idx="39">
                  <c:v>1973</c:v>
                </c:pt>
                <c:pt idx="40">
                  <c:v>1972</c:v>
                </c:pt>
              </c:numCache>
            </c:numRef>
          </c:xVal>
          <c:yVal>
            <c:numRef>
              <c:f>Sheet1!$B$1:$B$41</c:f>
              <c:numCache>
                <c:formatCode>General</c:formatCode>
                <c:ptCount val="41"/>
                <c:pt idx="0">
                  <c:v>1.71</c:v>
                </c:pt>
                <c:pt idx="1">
                  <c:v>1.79</c:v>
                </c:pt>
                <c:pt idx="2">
                  <c:v>1.87</c:v>
                </c:pt>
                <c:pt idx="3">
                  <c:v>1.83</c:v>
                </c:pt>
                <c:pt idx="4">
                  <c:v>1.76</c:v>
                </c:pt>
                <c:pt idx="5">
                  <c:v>1.66</c:v>
                </c:pt>
                <c:pt idx="6">
                  <c:v>1.8</c:v>
                </c:pt>
                <c:pt idx="7">
                  <c:v>1.73</c:v>
                </c:pt>
                <c:pt idx="8">
                  <c:v>1.72</c:v>
                </c:pt>
                <c:pt idx="9">
                  <c:v>1.71</c:v>
                </c:pt>
                <c:pt idx="10">
                  <c:v>1.81</c:v>
                </c:pt>
                <c:pt idx="11">
                  <c:v>1.72</c:v>
                </c:pt>
                <c:pt idx="12">
                  <c:v>1.66</c:v>
                </c:pt>
                <c:pt idx="13">
                  <c:v>1.76</c:v>
                </c:pt>
                <c:pt idx="14">
                  <c:v>1.69</c:v>
                </c:pt>
                <c:pt idx="15">
                  <c:v>1.69</c:v>
                </c:pt>
                <c:pt idx="16">
                  <c:v>1.63</c:v>
                </c:pt>
                <c:pt idx="17">
                  <c:v>1.66</c:v>
                </c:pt>
                <c:pt idx="18">
                  <c:v>1.68</c:v>
                </c:pt>
                <c:pt idx="19">
                  <c:v>1.53</c:v>
                </c:pt>
                <c:pt idx="20">
                  <c:v>1.54</c:v>
                </c:pt>
                <c:pt idx="21">
                  <c:v>1.61</c:v>
                </c:pt>
                <c:pt idx="22">
                  <c:v>1.62</c:v>
                </c:pt>
                <c:pt idx="23">
                  <c:v>1.61</c:v>
                </c:pt>
                <c:pt idx="24">
                  <c:v>1.61</c:v>
                </c:pt>
                <c:pt idx="25">
                  <c:v>1.63</c:v>
                </c:pt>
                <c:pt idx="26">
                  <c:v>1.67</c:v>
                </c:pt>
                <c:pt idx="27">
                  <c:v>1.66</c:v>
                </c:pt>
                <c:pt idx="28">
                  <c:v>1.6</c:v>
                </c:pt>
                <c:pt idx="29">
                  <c:v>1.72</c:v>
                </c:pt>
                <c:pt idx="30">
                  <c:v>1.64</c:v>
                </c:pt>
                <c:pt idx="31">
                  <c:v>1.58</c:v>
                </c:pt>
                <c:pt idx="32">
                  <c:v>1.67</c:v>
                </c:pt>
                <c:pt idx="33">
                  <c:v>1.77</c:v>
                </c:pt>
                <c:pt idx="34">
                  <c:v>1.68</c:v>
                </c:pt>
                <c:pt idx="35">
                  <c:v>1.67</c:v>
                </c:pt>
                <c:pt idx="36">
                  <c:v>1.66</c:v>
                </c:pt>
                <c:pt idx="37">
                  <c:v>1.64</c:v>
                </c:pt>
                <c:pt idx="38">
                  <c:v>1.63</c:v>
                </c:pt>
                <c:pt idx="39">
                  <c:v>1.75</c:v>
                </c:pt>
                <c:pt idx="40">
                  <c:v>1.64</c:v>
                </c:pt>
              </c:numCache>
            </c:numRef>
          </c:yVal>
          <c:smooth val="1"/>
        </c:ser>
        <c:dLbls>
          <c:showLegendKey val="0"/>
          <c:showVal val="0"/>
          <c:showCatName val="0"/>
          <c:showSerName val="0"/>
          <c:showPercent val="0"/>
          <c:showBubbleSize val="0"/>
        </c:dLbls>
        <c:axId val="125036800"/>
        <c:axId val="130655744"/>
      </c:scatterChart>
      <c:valAx>
        <c:axId val="125036800"/>
        <c:scaling>
          <c:orientation val="minMax"/>
          <c:max val="2012"/>
          <c:min val="1972"/>
        </c:scaling>
        <c:delete val="0"/>
        <c:axPos val="b"/>
        <c:title>
          <c:tx>
            <c:rich>
              <a:bodyPr/>
              <a:lstStyle/>
              <a:p>
                <a:pPr>
                  <a:defRPr sz="1173" b="1" i="0" u="none" strike="noStrike" baseline="0">
                    <a:solidFill>
                      <a:srgbClr val="000000"/>
                    </a:solidFill>
                    <a:latin typeface="Arial"/>
                    <a:ea typeface="Arial"/>
                    <a:cs typeface="Arial"/>
                  </a:defRPr>
                </a:pPr>
                <a:r>
                  <a:t>Year</a:t>
                </a:r>
              </a:p>
            </c:rich>
          </c:tx>
          <c:layout>
            <c:manualLayout>
              <c:xMode val="edge"/>
              <c:yMode val="edge"/>
              <c:x val="0.51809523809523805"/>
              <c:y val="0.85892116182572609"/>
            </c:manualLayout>
          </c:layout>
          <c:overlay val="0"/>
          <c:spPr>
            <a:noFill/>
            <a:ln w="25366">
              <a:noFill/>
            </a:ln>
          </c:spPr>
        </c:title>
        <c:numFmt formatCode="General" sourceLinked="1"/>
        <c:majorTickMark val="out"/>
        <c:minorTickMark val="none"/>
        <c:tickLblPos val="nextTo"/>
        <c:spPr>
          <a:ln w="3171">
            <a:solidFill>
              <a:srgbClr val="000000"/>
            </a:solidFill>
            <a:prstDash val="solid"/>
          </a:ln>
        </c:spPr>
        <c:txPr>
          <a:bodyPr rot="0" vert="horz"/>
          <a:lstStyle/>
          <a:p>
            <a:pPr>
              <a:defRPr sz="1173" b="0" i="0" u="none" strike="noStrike" baseline="0">
                <a:solidFill>
                  <a:srgbClr val="000000"/>
                </a:solidFill>
                <a:latin typeface="Arial"/>
                <a:ea typeface="Arial"/>
                <a:cs typeface="Arial"/>
              </a:defRPr>
            </a:pPr>
            <a:endParaRPr lang="en-US"/>
          </a:p>
        </c:txPr>
        <c:crossAx val="130655744"/>
        <c:crosses val="autoZero"/>
        <c:crossBetween val="midCat"/>
        <c:majorUnit val="5"/>
      </c:valAx>
      <c:valAx>
        <c:axId val="130655744"/>
        <c:scaling>
          <c:orientation val="minMax"/>
          <c:max val="2"/>
          <c:min val="1.4"/>
        </c:scaling>
        <c:delete val="0"/>
        <c:axPos val="l"/>
        <c:majorGridlines>
          <c:spPr>
            <a:ln w="3171">
              <a:solidFill>
                <a:srgbClr val="000000"/>
              </a:solidFill>
              <a:prstDash val="solid"/>
            </a:ln>
          </c:spPr>
        </c:majorGridlines>
        <c:title>
          <c:tx>
            <c:rich>
              <a:bodyPr/>
              <a:lstStyle/>
              <a:p>
                <a:pPr>
                  <a:defRPr sz="1173" b="1" i="0" u="none" strike="noStrike" baseline="0">
                    <a:solidFill>
                      <a:srgbClr val="000000"/>
                    </a:solidFill>
                    <a:latin typeface="Arial"/>
                    <a:ea typeface="Arial"/>
                    <a:cs typeface="Arial"/>
                  </a:defRPr>
                </a:pPr>
                <a:r>
                  <a:t>Sycamore ring widths (mm)</a:t>
                </a:r>
              </a:p>
            </c:rich>
          </c:tx>
          <c:layout>
            <c:manualLayout>
              <c:xMode val="edge"/>
              <c:yMode val="edge"/>
              <c:x val="5.7142857142857143E-3"/>
              <c:y val="0.24481327800829875"/>
            </c:manualLayout>
          </c:layout>
          <c:overlay val="0"/>
          <c:spPr>
            <a:noFill/>
            <a:ln w="25366">
              <a:noFill/>
            </a:ln>
          </c:spPr>
        </c:title>
        <c:numFmt formatCode="General" sourceLinked="1"/>
        <c:majorTickMark val="out"/>
        <c:minorTickMark val="none"/>
        <c:tickLblPos val="nextTo"/>
        <c:spPr>
          <a:ln w="3171">
            <a:solidFill>
              <a:srgbClr val="000000"/>
            </a:solidFill>
            <a:prstDash val="solid"/>
          </a:ln>
        </c:spPr>
        <c:txPr>
          <a:bodyPr rot="0" vert="horz"/>
          <a:lstStyle/>
          <a:p>
            <a:pPr>
              <a:defRPr sz="1173" b="0" i="0" u="none" strike="noStrike" baseline="0">
                <a:solidFill>
                  <a:srgbClr val="000000"/>
                </a:solidFill>
                <a:latin typeface="Arial"/>
                <a:ea typeface="Arial"/>
                <a:cs typeface="Arial"/>
              </a:defRPr>
            </a:pPr>
            <a:endParaRPr lang="en-US"/>
          </a:p>
        </c:txPr>
        <c:crossAx val="125036800"/>
        <c:crosses val="autoZero"/>
        <c:crossBetween val="midCat"/>
        <c:majorUnit val="0.1"/>
      </c:valAx>
      <c:spPr>
        <a:solidFill>
          <a:srgbClr val="FFFFFF"/>
        </a:solidFill>
        <a:ln w="12683">
          <a:solidFill>
            <a:srgbClr val="FFFFFF"/>
          </a:solidFill>
          <a:prstDash val="solid"/>
        </a:ln>
      </c:spPr>
    </c:plotArea>
    <c:plotVisOnly val="1"/>
    <c:dispBlanksAs val="gap"/>
    <c:showDLblsOverMax val="0"/>
  </c:chart>
  <c:spPr>
    <a:solidFill>
      <a:srgbClr val="FFFFFF"/>
    </a:solidFill>
    <a:ln w="3171">
      <a:solidFill>
        <a:srgbClr val="000000"/>
      </a:solidFill>
      <a:prstDash val="solid"/>
    </a:ln>
  </c:spPr>
  <c:txPr>
    <a:bodyPr/>
    <a:lstStyle/>
    <a:p>
      <a:pPr>
        <a:defRPr sz="1173" b="0" i="0" u="none" strike="noStrike" baseline="0">
          <a:solidFill>
            <a:srgbClr val="000000"/>
          </a:solidFill>
          <a:latin typeface="Arial"/>
          <a:ea typeface="Arial"/>
          <a:cs typeface="Arial"/>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300" b="1" i="0" u="none" strike="noStrike" baseline="0">
                <a:solidFill>
                  <a:srgbClr val="000000"/>
                </a:solidFill>
                <a:latin typeface="Arial"/>
                <a:ea typeface="Arial"/>
                <a:cs typeface="Arial"/>
              </a:defRPr>
            </a:pPr>
            <a:r>
              <a:t>The annual average temperature (ºC) Vs the average Sycamore ring width (mm) between 1972 and 2012</a:t>
            </a:r>
          </a:p>
        </c:rich>
      </c:tx>
      <c:layout>
        <c:manualLayout>
          <c:xMode val="edge"/>
          <c:yMode val="edge"/>
          <c:x val="0.10456273764258556"/>
          <c:y val="1.8749999999999999E-2"/>
        </c:manualLayout>
      </c:layout>
      <c:overlay val="0"/>
      <c:spPr>
        <a:noFill/>
        <a:ln w="25399">
          <a:noFill/>
        </a:ln>
      </c:spPr>
    </c:title>
    <c:autoTitleDeleted val="0"/>
    <c:plotArea>
      <c:layout>
        <c:manualLayout>
          <c:layoutTarget val="inner"/>
          <c:xMode val="edge"/>
          <c:yMode val="edge"/>
          <c:x val="9.5057034220532313E-2"/>
          <c:y val="0.26874999999999999"/>
          <c:w val="0.57794676806083645"/>
          <c:h val="0.53125"/>
        </c:manualLayout>
      </c:layout>
      <c:barChart>
        <c:barDir val="col"/>
        <c:grouping val="clustered"/>
        <c:varyColors val="0"/>
        <c:ser>
          <c:idx val="1"/>
          <c:order val="0"/>
          <c:tx>
            <c:v>Temperature (ºC)</c:v>
          </c:tx>
          <c:spPr>
            <a:solidFill>
              <a:srgbClr val="FF0000"/>
            </a:solidFill>
            <a:ln w="12700">
              <a:solidFill>
                <a:srgbClr val="FF0000"/>
              </a:solidFill>
              <a:prstDash val="solid"/>
            </a:ln>
          </c:spPr>
          <c:invertIfNegative val="0"/>
          <c:cat>
            <c:numRef>
              <c:f>Sheet1!$A$2:$A$42</c:f>
              <c:numCache>
                <c:formatCode>General</c:formatCode>
                <c:ptCount val="41"/>
                <c:pt idx="0">
                  <c:v>1972</c:v>
                </c:pt>
                <c:pt idx="1">
                  <c:v>1973</c:v>
                </c:pt>
                <c:pt idx="2">
                  <c:v>1974</c:v>
                </c:pt>
                <c:pt idx="3">
                  <c:v>1975</c:v>
                </c:pt>
                <c:pt idx="4">
                  <c:v>1976</c:v>
                </c:pt>
                <c:pt idx="5">
                  <c:v>1977</c:v>
                </c:pt>
                <c:pt idx="6">
                  <c:v>1978</c:v>
                </c:pt>
                <c:pt idx="7">
                  <c:v>1979</c:v>
                </c:pt>
                <c:pt idx="8">
                  <c:v>1980</c:v>
                </c:pt>
                <c:pt idx="9">
                  <c:v>1981</c:v>
                </c:pt>
                <c:pt idx="10">
                  <c:v>1982</c:v>
                </c:pt>
                <c:pt idx="11">
                  <c:v>1983</c:v>
                </c:pt>
                <c:pt idx="12">
                  <c:v>1984</c:v>
                </c:pt>
                <c:pt idx="13">
                  <c:v>1985</c:v>
                </c:pt>
                <c:pt idx="14">
                  <c:v>1986</c:v>
                </c:pt>
                <c:pt idx="15">
                  <c:v>1987</c:v>
                </c:pt>
                <c:pt idx="16">
                  <c:v>1988</c:v>
                </c:pt>
                <c:pt idx="17">
                  <c:v>1989</c:v>
                </c:pt>
                <c:pt idx="18">
                  <c:v>1990</c:v>
                </c:pt>
                <c:pt idx="19">
                  <c:v>1991</c:v>
                </c:pt>
                <c:pt idx="20">
                  <c:v>1992</c:v>
                </c:pt>
                <c:pt idx="21">
                  <c:v>1993</c:v>
                </c:pt>
                <c:pt idx="22">
                  <c:v>1994</c:v>
                </c:pt>
                <c:pt idx="23">
                  <c:v>1995</c:v>
                </c:pt>
                <c:pt idx="24">
                  <c:v>1996</c:v>
                </c:pt>
                <c:pt idx="25">
                  <c:v>1997</c:v>
                </c:pt>
                <c:pt idx="26">
                  <c:v>1998</c:v>
                </c:pt>
                <c:pt idx="27">
                  <c:v>1999</c:v>
                </c:pt>
                <c:pt idx="28">
                  <c:v>2000</c:v>
                </c:pt>
                <c:pt idx="29">
                  <c:v>2001</c:v>
                </c:pt>
                <c:pt idx="30">
                  <c:v>2002</c:v>
                </c:pt>
                <c:pt idx="31">
                  <c:v>2003</c:v>
                </c:pt>
                <c:pt idx="32">
                  <c:v>2004</c:v>
                </c:pt>
                <c:pt idx="33">
                  <c:v>2005</c:v>
                </c:pt>
                <c:pt idx="34">
                  <c:v>2006</c:v>
                </c:pt>
                <c:pt idx="35">
                  <c:v>2007</c:v>
                </c:pt>
                <c:pt idx="36">
                  <c:v>2008</c:v>
                </c:pt>
                <c:pt idx="37">
                  <c:v>2009</c:v>
                </c:pt>
                <c:pt idx="38">
                  <c:v>2010</c:v>
                </c:pt>
                <c:pt idx="39">
                  <c:v>2011</c:v>
                </c:pt>
                <c:pt idx="40">
                  <c:v>2012</c:v>
                </c:pt>
              </c:numCache>
            </c:numRef>
          </c:cat>
          <c:val>
            <c:numRef>
              <c:f>Sheet1!$B$2:$B$42</c:f>
              <c:numCache>
                <c:formatCode>General</c:formatCode>
                <c:ptCount val="41"/>
                <c:pt idx="0">
                  <c:v>11.6</c:v>
                </c:pt>
                <c:pt idx="1">
                  <c:v>12</c:v>
                </c:pt>
                <c:pt idx="2">
                  <c:v>11.9</c:v>
                </c:pt>
                <c:pt idx="3">
                  <c:v>12.5</c:v>
                </c:pt>
                <c:pt idx="4">
                  <c:v>12.2</c:v>
                </c:pt>
                <c:pt idx="5">
                  <c:v>11.7</c:v>
                </c:pt>
                <c:pt idx="6">
                  <c:v>11.6</c:v>
                </c:pt>
                <c:pt idx="7">
                  <c:v>10.9</c:v>
                </c:pt>
                <c:pt idx="8">
                  <c:v>11.6</c:v>
                </c:pt>
                <c:pt idx="9">
                  <c:v>11.6</c:v>
                </c:pt>
                <c:pt idx="10">
                  <c:v>12.4</c:v>
                </c:pt>
                <c:pt idx="11">
                  <c:v>12.3</c:v>
                </c:pt>
                <c:pt idx="12">
                  <c:v>12.4</c:v>
                </c:pt>
                <c:pt idx="13">
                  <c:v>11.1</c:v>
                </c:pt>
                <c:pt idx="14">
                  <c:v>11.1</c:v>
                </c:pt>
                <c:pt idx="15">
                  <c:v>11.3</c:v>
                </c:pt>
                <c:pt idx="16">
                  <c:v>12.2</c:v>
                </c:pt>
                <c:pt idx="17">
                  <c:v>13</c:v>
                </c:pt>
                <c:pt idx="18">
                  <c:v>13</c:v>
                </c:pt>
                <c:pt idx="19">
                  <c:v>12.2</c:v>
                </c:pt>
                <c:pt idx="20">
                  <c:v>12.5</c:v>
                </c:pt>
                <c:pt idx="21">
                  <c:v>11.8</c:v>
                </c:pt>
                <c:pt idx="22">
                  <c:v>12</c:v>
                </c:pt>
                <c:pt idx="23">
                  <c:v>12.9</c:v>
                </c:pt>
                <c:pt idx="24">
                  <c:v>11.5</c:v>
                </c:pt>
                <c:pt idx="25">
                  <c:v>12.9</c:v>
                </c:pt>
                <c:pt idx="26">
                  <c:v>12.4</c:v>
                </c:pt>
                <c:pt idx="27">
                  <c:v>12.7</c:v>
                </c:pt>
                <c:pt idx="28">
                  <c:v>12.5</c:v>
                </c:pt>
                <c:pt idx="29">
                  <c:v>12.4</c:v>
                </c:pt>
                <c:pt idx="30">
                  <c:v>12.8</c:v>
                </c:pt>
                <c:pt idx="31">
                  <c:v>13.4</c:v>
                </c:pt>
                <c:pt idx="32">
                  <c:v>12.9</c:v>
                </c:pt>
                <c:pt idx="33">
                  <c:v>12.7</c:v>
                </c:pt>
                <c:pt idx="34">
                  <c:v>13</c:v>
                </c:pt>
                <c:pt idx="35">
                  <c:v>13.3</c:v>
                </c:pt>
                <c:pt idx="36">
                  <c:v>12.6</c:v>
                </c:pt>
                <c:pt idx="37">
                  <c:v>12.5</c:v>
                </c:pt>
                <c:pt idx="38">
                  <c:v>11.5</c:v>
                </c:pt>
                <c:pt idx="39">
                  <c:v>12.9</c:v>
                </c:pt>
                <c:pt idx="40">
                  <c:v>12</c:v>
                </c:pt>
              </c:numCache>
            </c:numRef>
          </c:val>
        </c:ser>
        <c:dLbls>
          <c:showLegendKey val="0"/>
          <c:showVal val="0"/>
          <c:showCatName val="0"/>
          <c:showSerName val="0"/>
          <c:showPercent val="0"/>
          <c:showBubbleSize val="0"/>
        </c:dLbls>
        <c:gapWidth val="150"/>
        <c:axId val="101596160"/>
        <c:axId val="101602432"/>
      </c:barChart>
      <c:lineChart>
        <c:grouping val="standard"/>
        <c:varyColors val="0"/>
        <c:ser>
          <c:idx val="0"/>
          <c:order val="1"/>
          <c:tx>
            <c:v>Average ring      widths (mm)</c:v>
          </c:tx>
          <c:spPr>
            <a:ln w="25399">
              <a:solidFill>
                <a:srgbClr val="FF9900"/>
              </a:solidFill>
              <a:prstDash val="solid"/>
            </a:ln>
          </c:spPr>
          <c:marker>
            <c:symbol val="none"/>
          </c:marker>
          <c:cat>
            <c:numRef>
              <c:f>Sheet1!$A$2:$A$42</c:f>
              <c:numCache>
                <c:formatCode>General</c:formatCode>
                <c:ptCount val="41"/>
                <c:pt idx="0">
                  <c:v>1972</c:v>
                </c:pt>
                <c:pt idx="1">
                  <c:v>1973</c:v>
                </c:pt>
                <c:pt idx="2">
                  <c:v>1974</c:v>
                </c:pt>
                <c:pt idx="3">
                  <c:v>1975</c:v>
                </c:pt>
                <c:pt idx="4">
                  <c:v>1976</c:v>
                </c:pt>
                <c:pt idx="5">
                  <c:v>1977</c:v>
                </c:pt>
                <c:pt idx="6">
                  <c:v>1978</c:v>
                </c:pt>
                <c:pt idx="7">
                  <c:v>1979</c:v>
                </c:pt>
                <c:pt idx="8">
                  <c:v>1980</c:v>
                </c:pt>
                <c:pt idx="9">
                  <c:v>1981</c:v>
                </c:pt>
                <c:pt idx="10">
                  <c:v>1982</c:v>
                </c:pt>
                <c:pt idx="11">
                  <c:v>1983</c:v>
                </c:pt>
                <c:pt idx="12">
                  <c:v>1984</c:v>
                </c:pt>
                <c:pt idx="13">
                  <c:v>1985</c:v>
                </c:pt>
                <c:pt idx="14">
                  <c:v>1986</c:v>
                </c:pt>
                <c:pt idx="15">
                  <c:v>1987</c:v>
                </c:pt>
                <c:pt idx="16">
                  <c:v>1988</c:v>
                </c:pt>
                <c:pt idx="17">
                  <c:v>1989</c:v>
                </c:pt>
                <c:pt idx="18">
                  <c:v>1990</c:v>
                </c:pt>
                <c:pt idx="19">
                  <c:v>1991</c:v>
                </c:pt>
                <c:pt idx="20">
                  <c:v>1992</c:v>
                </c:pt>
                <c:pt idx="21">
                  <c:v>1993</c:v>
                </c:pt>
                <c:pt idx="22">
                  <c:v>1994</c:v>
                </c:pt>
                <c:pt idx="23">
                  <c:v>1995</c:v>
                </c:pt>
                <c:pt idx="24">
                  <c:v>1996</c:v>
                </c:pt>
                <c:pt idx="25">
                  <c:v>1997</c:v>
                </c:pt>
                <c:pt idx="26">
                  <c:v>1998</c:v>
                </c:pt>
                <c:pt idx="27">
                  <c:v>1999</c:v>
                </c:pt>
                <c:pt idx="28">
                  <c:v>2000</c:v>
                </c:pt>
                <c:pt idx="29">
                  <c:v>2001</c:v>
                </c:pt>
                <c:pt idx="30">
                  <c:v>2002</c:v>
                </c:pt>
                <c:pt idx="31">
                  <c:v>2003</c:v>
                </c:pt>
                <c:pt idx="32">
                  <c:v>2004</c:v>
                </c:pt>
                <c:pt idx="33">
                  <c:v>2005</c:v>
                </c:pt>
                <c:pt idx="34">
                  <c:v>2006</c:v>
                </c:pt>
                <c:pt idx="35">
                  <c:v>2007</c:v>
                </c:pt>
                <c:pt idx="36">
                  <c:v>2008</c:v>
                </c:pt>
                <c:pt idx="37">
                  <c:v>2009</c:v>
                </c:pt>
                <c:pt idx="38">
                  <c:v>2010</c:v>
                </c:pt>
                <c:pt idx="39">
                  <c:v>2011</c:v>
                </c:pt>
                <c:pt idx="40">
                  <c:v>2012</c:v>
                </c:pt>
              </c:numCache>
            </c:numRef>
          </c:cat>
          <c:val>
            <c:numRef>
              <c:f>Sheet1!$H$2:$H$42</c:f>
              <c:numCache>
                <c:formatCode>General</c:formatCode>
                <c:ptCount val="41"/>
                <c:pt idx="0">
                  <c:v>1.64</c:v>
                </c:pt>
                <c:pt idx="1">
                  <c:v>1.75</c:v>
                </c:pt>
                <c:pt idx="2">
                  <c:v>1.63</c:v>
                </c:pt>
                <c:pt idx="3">
                  <c:v>1.64</c:v>
                </c:pt>
                <c:pt idx="4">
                  <c:v>1.66</c:v>
                </c:pt>
                <c:pt idx="5">
                  <c:v>1.67</c:v>
                </c:pt>
                <c:pt idx="6">
                  <c:v>1.68</c:v>
                </c:pt>
                <c:pt idx="7">
                  <c:v>1.77</c:v>
                </c:pt>
                <c:pt idx="8">
                  <c:v>1.67</c:v>
                </c:pt>
                <c:pt idx="9">
                  <c:v>1.58</c:v>
                </c:pt>
                <c:pt idx="10">
                  <c:v>1.64</c:v>
                </c:pt>
                <c:pt idx="11">
                  <c:v>1.72</c:v>
                </c:pt>
                <c:pt idx="12">
                  <c:v>1.6</c:v>
                </c:pt>
                <c:pt idx="13">
                  <c:v>1.66</c:v>
                </c:pt>
                <c:pt idx="14">
                  <c:v>1.67</c:v>
                </c:pt>
                <c:pt idx="15">
                  <c:v>1.63</c:v>
                </c:pt>
                <c:pt idx="16">
                  <c:v>1.61</c:v>
                </c:pt>
                <c:pt idx="17">
                  <c:v>1.61</c:v>
                </c:pt>
                <c:pt idx="18">
                  <c:v>1.62</c:v>
                </c:pt>
                <c:pt idx="19">
                  <c:v>1.61</c:v>
                </c:pt>
                <c:pt idx="20">
                  <c:v>1.54</c:v>
                </c:pt>
                <c:pt idx="21">
                  <c:v>1.53</c:v>
                </c:pt>
                <c:pt idx="22">
                  <c:v>1.68</c:v>
                </c:pt>
                <c:pt idx="23">
                  <c:v>1.66</c:v>
                </c:pt>
                <c:pt idx="24">
                  <c:v>1.63</c:v>
                </c:pt>
                <c:pt idx="25">
                  <c:v>1.69</c:v>
                </c:pt>
                <c:pt idx="26">
                  <c:v>1.69</c:v>
                </c:pt>
                <c:pt idx="27">
                  <c:v>1.76</c:v>
                </c:pt>
                <c:pt idx="28">
                  <c:v>1.66</c:v>
                </c:pt>
                <c:pt idx="29">
                  <c:v>1.72</c:v>
                </c:pt>
                <c:pt idx="30">
                  <c:v>1.81</c:v>
                </c:pt>
                <c:pt idx="31">
                  <c:v>1.71</c:v>
                </c:pt>
                <c:pt idx="32">
                  <c:v>1.72</c:v>
                </c:pt>
                <c:pt idx="33">
                  <c:v>1.73</c:v>
                </c:pt>
                <c:pt idx="34">
                  <c:v>1.8</c:v>
                </c:pt>
                <c:pt idx="35">
                  <c:v>1.66</c:v>
                </c:pt>
                <c:pt idx="36">
                  <c:v>1.76</c:v>
                </c:pt>
                <c:pt idx="37">
                  <c:v>1.83</c:v>
                </c:pt>
                <c:pt idx="38">
                  <c:v>1.87</c:v>
                </c:pt>
                <c:pt idx="39">
                  <c:v>1.79</c:v>
                </c:pt>
                <c:pt idx="40">
                  <c:v>1.71</c:v>
                </c:pt>
              </c:numCache>
            </c:numRef>
          </c:val>
          <c:smooth val="0"/>
        </c:ser>
        <c:dLbls>
          <c:showLegendKey val="0"/>
          <c:showVal val="0"/>
          <c:showCatName val="0"/>
          <c:showSerName val="0"/>
          <c:showPercent val="0"/>
          <c:showBubbleSize val="0"/>
        </c:dLbls>
        <c:marker val="1"/>
        <c:smooth val="0"/>
        <c:axId val="101604352"/>
        <c:axId val="101622528"/>
      </c:lineChart>
      <c:catAx>
        <c:axId val="101596160"/>
        <c:scaling>
          <c:orientation val="minMax"/>
        </c:scaling>
        <c:delete val="0"/>
        <c:axPos val="b"/>
        <c:title>
          <c:tx>
            <c:rich>
              <a:bodyPr/>
              <a:lstStyle/>
              <a:p>
                <a:pPr>
                  <a:defRPr sz="1050" b="1" i="0" u="none" strike="noStrike" baseline="0">
                    <a:solidFill>
                      <a:srgbClr val="000000"/>
                    </a:solidFill>
                    <a:latin typeface="Arial"/>
                    <a:ea typeface="Arial"/>
                    <a:cs typeface="Arial"/>
                  </a:defRPr>
                </a:pPr>
                <a:r>
                  <a:t>Year</a:t>
                </a:r>
              </a:p>
            </c:rich>
          </c:tx>
          <c:layout>
            <c:manualLayout>
              <c:xMode val="edge"/>
              <c:yMode val="edge"/>
              <c:x val="0.34790874524714827"/>
              <c:y val="0.89375000000000004"/>
            </c:manualLayout>
          </c:layout>
          <c:overlay val="0"/>
          <c:spPr>
            <a:noFill/>
            <a:ln w="25399">
              <a:noFill/>
            </a:ln>
          </c:spPr>
        </c:title>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101602432"/>
        <c:crosses val="autoZero"/>
        <c:auto val="0"/>
        <c:lblAlgn val="ctr"/>
        <c:lblOffset val="100"/>
        <c:tickLblSkip val="5"/>
        <c:tickMarkSkip val="1"/>
        <c:noMultiLvlLbl val="0"/>
      </c:catAx>
      <c:valAx>
        <c:axId val="101602432"/>
        <c:scaling>
          <c:orientation val="minMax"/>
        </c:scaling>
        <c:delete val="0"/>
        <c:axPos val="l"/>
        <c:majorGridlines>
          <c:spPr>
            <a:ln w="3175">
              <a:solidFill>
                <a:srgbClr val="000000"/>
              </a:solidFill>
              <a:prstDash val="solid"/>
            </a:ln>
          </c:spPr>
        </c:majorGridlines>
        <c:title>
          <c:tx>
            <c:rich>
              <a:bodyPr/>
              <a:lstStyle/>
              <a:p>
                <a:pPr>
                  <a:defRPr sz="1050" b="1" i="0" u="none" strike="noStrike" baseline="0">
                    <a:solidFill>
                      <a:srgbClr val="000000"/>
                    </a:solidFill>
                    <a:latin typeface="Arial"/>
                    <a:ea typeface="Arial"/>
                    <a:cs typeface="Arial"/>
                  </a:defRPr>
                </a:pPr>
                <a:r>
                  <a:t>Temperature (ºC)</a:t>
                </a:r>
              </a:p>
            </c:rich>
          </c:tx>
          <c:layout>
            <c:manualLayout>
              <c:xMode val="edge"/>
              <c:yMode val="edge"/>
              <c:x val="5.7034220532319393E-3"/>
              <c:y val="0.34062500000000001"/>
            </c:manualLayout>
          </c:layout>
          <c:overlay val="0"/>
          <c:spPr>
            <a:noFill/>
            <a:ln w="25399">
              <a:noFill/>
            </a:ln>
          </c:spPr>
        </c:title>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101596160"/>
        <c:crosses val="autoZero"/>
        <c:crossBetween val="between"/>
      </c:valAx>
      <c:catAx>
        <c:axId val="101604352"/>
        <c:scaling>
          <c:orientation val="minMax"/>
        </c:scaling>
        <c:delete val="1"/>
        <c:axPos val="b"/>
        <c:numFmt formatCode="General" sourceLinked="1"/>
        <c:majorTickMark val="out"/>
        <c:minorTickMark val="none"/>
        <c:tickLblPos val="nextTo"/>
        <c:crossAx val="101622528"/>
        <c:crosses val="autoZero"/>
        <c:auto val="1"/>
        <c:lblAlgn val="ctr"/>
        <c:lblOffset val="100"/>
        <c:noMultiLvlLbl val="0"/>
      </c:catAx>
      <c:valAx>
        <c:axId val="101622528"/>
        <c:scaling>
          <c:orientation val="minMax"/>
        </c:scaling>
        <c:delete val="0"/>
        <c:axPos val="r"/>
        <c:title>
          <c:tx>
            <c:rich>
              <a:bodyPr/>
              <a:lstStyle/>
              <a:p>
                <a:pPr>
                  <a:defRPr sz="1050" b="1" i="0" u="none" strike="noStrike" baseline="0">
                    <a:solidFill>
                      <a:srgbClr val="000000"/>
                    </a:solidFill>
                    <a:latin typeface="Arial"/>
                    <a:ea typeface="Arial"/>
                    <a:cs typeface="Arial"/>
                  </a:defRPr>
                </a:pPr>
                <a:r>
                  <a:t>Average Sycamore ring widths (mm)</a:t>
                </a:r>
              </a:p>
            </c:rich>
          </c:tx>
          <c:layout>
            <c:manualLayout>
              <c:xMode val="edge"/>
              <c:yMode val="edge"/>
              <c:x val="0.72053231939163498"/>
              <c:y val="0.32187500000000002"/>
            </c:manualLayout>
          </c:layout>
          <c:overlay val="0"/>
          <c:spPr>
            <a:noFill/>
            <a:ln w="25399">
              <a:noFill/>
            </a:ln>
          </c:spPr>
        </c:title>
        <c:numFmt formatCode="General" sourceLinked="1"/>
        <c:majorTickMark val="cross"/>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101604352"/>
        <c:crosses val="max"/>
        <c:crossBetween val="between"/>
      </c:valAx>
      <c:spPr>
        <a:noFill/>
        <a:ln w="12700">
          <a:solidFill>
            <a:srgbClr val="808080"/>
          </a:solidFill>
          <a:prstDash val="solid"/>
        </a:ln>
      </c:spPr>
    </c:plotArea>
    <c:legend>
      <c:legendPos val="r"/>
      <c:layout>
        <c:manualLayout>
          <c:xMode val="edge"/>
          <c:yMode val="edge"/>
          <c:x val="0.78326996197718635"/>
          <c:y val="0.40625"/>
          <c:w val="0.21292775665399238"/>
          <c:h val="0.23749999999999999"/>
        </c:manualLayout>
      </c:layout>
      <c:overlay val="0"/>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en-US"/>
        </a:p>
      </c:txPr>
    </c:legend>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300" b="1" i="0" u="none" strike="noStrike" baseline="0">
                <a:solidFill>
                  <a:srgbClr val="000000"/>
                </a:solidFill>
                <a:latin typeface="Arial"/>
                <a:ea typeface="Arial"/>
                <a:cs typeface="Arial"/>
              </a:defRPr>
            </a:pPr>
            <a:r>
              <a:t>The annual average temperature (ºC) Vs the average Beech ring width (mm) between 1972 and 2012</a:t>
            </a:r>
          </a:p>
        </c:rich>
      </c:tx>
      <c:layout>
        <c:manualLayout>
          <c:xMode val="edge"/>
          <c:yMode val="edge"/>
          <c:x val="0.13074204946996468"/>
          <c:y val="1.7647058823529412E-2"/>
        </c:manualLayout>
      </c:layout>
      <c:overlay val="0"/>
      <c:spPr>
        <a:noFill/>
        <a:ln w="25400">
          <a:noFill/>
        </a:ln>
      </c:spPr>
    </c:title>
    <c:autoTitleDeleted val="0"/>
    <c:plotArea>
      <c:layout>
        <c:manualLayout>
          <c:layoutTarget val="inner"/>
          <c:xMode val="edge"/>
          <c:yMode val="edge"/>
          <c:x val="8.1272084805653705E-2"/>
          <c:y val="0.25"/>
          <c:w val="0.54063604240282681"/>
          <c:h val="0.56176470588235294"/>
        </c:manualLayout>
      </c:layout>
      <c:barChart>
        <c:barDir val="col"/>
        <c:grouping val="clustered"/>
        <c:varyColors val="0"/>
        <c:ser>
          <c:idx val="1"/>
          <c:order val="0"/>
          <c:tx>
            <c:v>Temperature (ºC)</c:v>
          </c:tx>
          <c:spPr>
            <a:solidFill>
              <a:srgbClr val="FF0000"/>
            </a:solidFill>
            <a:ln w="12700">
              <a:solidFill>
                <a:srgbClr val="FF0000"/>
              </a:solidFill>
              <a:prstDash val="solid"/>
            </a:ln>
          </c:spPr>
          <c:invertIfNegative val="0"/>
          <c:cat>
            <c:numRef>
              <c:f>Sheet1!$A$2:$A$42</c:f>
              <c:numCache>
                <c:formatCode>General</c:formatCode>
                <c:ptCount val="41"/>
                <c:pt idx="0">
                  <c:v>1972</c:v>
                </c:pt>
                <c:pt idx="1">
                  <c:v>1973</c:v>
                </c:pt>
                <c:pt idx="2">
                  <c:v>1974</c:v>
                </c:pt>
                <c:pt idx="3">
                  <c:v>1975</c:v>
                </c:pt>
                <c:pt idx="4">
                  <c:v>1976</c:v>
                </c:pt>
                <c:pt idx="5">
                  <c:v>1977</c:v>
                </c:pt>
                <c:pt idx="6">
                  <c:v>1978</c:v>
                </c:pt>
                <c:pt idx="7">
                  <c:v>1979</c:v>
                </c:pt>
                <c:pt idx="8">
                  <c:v>1980</c:v>
                </c:pt>
                <c:pt idx="9">
                  <c:v>1981</c:v>
                </c:pt>
                <c:pt idx="10">
                  <c:v>1982</c:v>
                </c:pt>
                <c:pt idx="11">
                  <c:v>1983</c:v>
                </c:pt>
                <c:pt idx="12">
                  <c:v>1984</c:v>
                </c:pt>
                <c:pt idx="13">
                  <c:v>1985</c:v>
                </c:pt>
                <c:pt idx="14">
                  <c:v>1986</c:v>
                </c:pt>
                <c:pt idx="15">
                  <c:v>1987</c:v>
                </c:pt>
                <c:pt idx="16">
                  <c:v>1988</c:v>
                </c:pt>
                <c:pt idx="17">
                  <c:v>1989</c:v>
                </c:pt>
                <c:pt idx="18">
                  <c:v>1990</c:v>
                </c:pt>
                <c:pt idx="19">
                  <c:v>1991</c:v>
                </c:pt>
                <c:pt idx="20">
                  <c:v>1992</c:v>
                </c:pt>
                <c:pt idx="21">
                  <c:v>1993</c:v>
                </c:pt>
                <c:pt idx="22">
                  <c:v>1994</c:v>
                </c:pt>
                <c:pt idx="23">
                  <c:v>1995</c:v>
                </c:pt>
                <c:pt idx="24">
                  <c:v>1996</c:v>
                </c:pt>
                <c:pt idx="25">
                  <c:v>1997</c:v>
                </c:pt>
                <c:pt idx="26">
                  <c:v>1998</c:v>
                </c:pt>
                <c:pt idx="27">
                  <c:v>1999</c:v>
                </c:pt>
                <c:pt idx="28">
                  <c:v>2000</c:v>
                </c:pt>
                <c:pt idx="29">
                  <c:v>2001</c:v>
                </c:pt>
                <c:pt idx="30">
                  <c:v>2002</c:v>
                </c:pt>
                <c:pt idx="31">
                  <c:v>2003</c:v>
                </c:pt>
                <c:pt idx="32">
                  <c:v>2004</c:v>
                </c:pt>
                <c:pt idx="33">
                  <c:v>2005</c:v>
                </c:pt>
                <c:pt idx="34">
                  <c:v>2006</c:v>
                </c:pt>
                <c:pt idx="35">
                  <c:v>2007</c:v>
                </c:pt>
                <c:pt idx="36">
                  <c:v>2008</c:v>
                </c:pt>
                <c:pt idx="37">
                  <c:v>2009</c:v>
                </c:pt>
                <c:pt idx="38">
                  <c:v>2010</c:v>
                </c:pt>
                <c:pt idx="39">
                  <c:v>2011</c:v>
                </c:pt>
                <c:pt idx="40">
                  <c:v>2012</c:v>
                </c:pt>
              </c:numCache>
            </c:numRef>
          </c:cat>
          <c:val>
            <c:numRef>
              <c:f>Sheet1!$B$2:$B$42</c:f>
              <c:numCache>
                <c:formatCode>General</c:formatCode>
                <c:ptCount val="41"/>
                <c:pt idx="0">
                  <c:v>11.6</c:v>
                </c:pt>
                <c:pt idx="1">
                  <c:v>12</c:v>
                </c:pt>
                <c:pt idx="2">
                  <c:v>11.9</c:v>
                </c:pt>
                <c:pt idx="3">
                  <c:v>12.5</c:v>
                </c:pt>
                <c:pt idx="4">
                  <c:v>12.2</c:v>
                </c:pt>
                <c:pt idx="5">
                  <c:v>11.7</c:v>
                </c:pt>
                <c:pt idx="6">
                  <c:v>11.6</c:v>
                </c:pt>
                <c:pt idx="7">
                  <c:v>10.9</c:v>
                </c:pt>
                <c:pt idx="8">
                  <c:v>11.6</c:v>
                </c:pt>
                <c:pt idx="9">
                  <c:v>11.6</c:v>
                </c:pt>
                <c:pt idx="10">
                  <c:v>12.4</c:v>
                </c:pt>
                <c:pt idx="11">
                  <c:v>12.3</c:v>
                </c:pt>
                <c:pt idx="12">
                  <c:v>12.4</c:v>
                </c:pt>
                <c:pt idx="13">
                  <c:v>11.1</c:v>
                </c:pt>
                <c:pt idx="14">
                  <c:v>11.1</c:v>
                </c:pt>
                <c:pt idx="15">
                  <c:v>11.3</c:v>
                </c:pt>
                <c:pt idx="16">
                  <c:v>12.2</c:v>
                </c:pt>
                <c:pt idx="17">
                  <c:v>13</c:v>
                </c:pt>
                <c:pt idx="18">
                  <c:v>13</c:v>
                </c:pt>
                <c:pt idx="19">
                  <c:v>12.2</c:v>
                </c:pt>
                <c:pt idx="20">
                  <c:v>12.5</c:v>
                </c:pt>
                <c:pt idx="21">
                  <c:v>11.8</c:v>
                </c:pt>
                <c:pt idx="22">
                  <c:v>12</c:v>
                </c:pt>
                <c:pt idx="23">
                  <c:v>12.9</c:v>
                </c:pt>
                <c:pt idx="24">
                  <c:v>11.5</c:v>
                </c:pt>
                <c:pt idx="25">
                  <c:v>12.9</c:v>
                </c:pt>
                <c:pt idx="26">
                  <c:v>12.4</c:v>
                </c:pt>
                <c:pt idx="27">
                  <c:v>12.7</c:v>
                </c:pt>
                <c:pt idx="28">
                  <c:v>12.5</c:v>
                </c:pt>
                <c:pt idx="29">
                  <c:v>12.4</c:v>
                </c:pt>
                <c:pt idx="30">
                  <c:v>12.8</c:v>
                </c:pt>
                <c:pt idx="31">
                  <c:v>13.4</c:v>
                </c:pt>
                <c:pt idx="32">
                  <c:v>12.9</c:v>
                </c:pt>
                <c:pt idx="33">
                  <c:v>12.7</c:v>
                </c:pt>
                <c:pt idx="34">
                  <c:v>13</c:v>
                </c:pt>
                <c:pt idx="35">
                  <c:v>13.3</c:v>
                </c:pt>
                <c:pt idx="36">
                  <c:v>12.6</c:v>
                </c:pt>
                <c:pt idx="37">
                  <c:v>12.5</c:v>
                </c:pt>
                <c:pt idx="38">
                  <c:v>11.5</c:v>
                </c:pt>
                <c:pt idx="39">
                  <c:v>12.9</c:v>
                </c:pt>
                <c:pt idx="40">
                  <c:v>12</c:v>
                </c:pt>
              </c:numCache>
            </c:numRef>
          </c:val>
        </c:ser>
        <c:dLbls>
          <c:showLegendKey val="0"/>
          <c:showVal val="0"/>
          <c:showCatName val="0"/>
          <c:showSerName val="0"/>
          <c:showPercent val="0"/>
          <c:showBubbleSize val="0"/>
        </c:dLbls>
        <c:gapWidth val="150"/>
        <c:axId val="101357056"/>
        <c:axId val="101358976"/>
      </c:barChart>
      <c:lineChart>
        <c:grouping val="standard"/>
        <c:varyColors val="0"/>
        <c:ser>
          <c:idx val="0"/>
          <c:order val="1"/>
          <c:tx>
            <c:v>Average ring    width (mm)</c:v>
          </c:tx>
          <c:spPr>
            <a:ln w="25400">
              <a:solidFill>
                <a:srgbClr val="00CCFF"/>
              </a:solidFill>
              <a:prstDash val="solid"/>
            </a:ln>
          </c:spPr>
          <c:marker>
            <c:symbol val="none"/>
          </c:marker>
          <c:cat>
            <c:numRef>
              <c:f>Sheet1!$A$2:$A$42</c:f>
              <c:numCache>
                <c:formatCode>General</c:formatCode>
                <c:ptCount val="41"/>
                <c:pt idx="0">
                  <c:v>1972</c:v>
                </c:pt>
                <c:pt idx="1">
                  <c:v>1973</c:v>
                </c:pt>
                <c:pt idx="2">
                  <c:v>1974</c:v>
                </c:pt>
                <c:pt idx="3">
                  <c:v>1975</c:v>
                </c:pt>
                <c:pt idx="4">
                  <c:v>1976</c:v>
                </c:pt>
                <c:pt idx="5">
                  <c:v>1977</c:v>
                </c:pt>
                <c:pt idx="6">
                  <c:v>1978</c:v>
                </c:pt>
                <c:pt idx="7">
                  <c:v>1979</c:v>
                </c:pt>
                <c:pt idx="8">
                  <c:v>1980</c:v>
                </c:pt>
                <c:pt idx="9">
                  <c:v>1981</c:v>
                </c:pt>
                <c:pt idx="10">
                  <c:v>1982</c:v>
                </c:pt>
                <c:pt idx="11">
                  <c:v>1983</c:v>
                </c:pt>
                <c:pt idx="12">
                  <c:v>1984</c:v>
                </c:pt>
                <c:pt idx="13">
                  <c:v>1985</c:v>
                </c:pt>
                <c:pt idx="14">
                  <c:v>1986</c:v>
                </c:pt>
                <c:pt idx="15">
                  <c:v>1987</c:v>
                </c:pt>
                <c:pt idx="16">
                  <c:v>1988</c:v>
                </c:pt>
                <c:pt idx="17">
                  <c:v>1989</c:v>
                </c:pt>
                <c:pt idx="18">
                  <c:v>1990</c:v>
                </c:pt>
                <c:pt idx="19">
                  <c:v>1991</c:v>
                </c:pt>
                <c:pt idx="20">
                  <c:v>1992</c:v>
                </c:pt>
                <c:pt idx="21">
                  <c:v>1993</c:v>
                </c:pt>
                <c:pt idx="22">
                  <c:v>1994</c:v>
                </c:pt>
                <c:pt idx="23">
                  <c:v>1995</c:v>
                </c:pt>
                <c:pt idx="24">
                  <c:v>1996</c:v>
                </c:pt>
                <c:pt idx="25">
                  <c:v>1997</c:v>
                </c:pt>
                <c:pt idx="26">
                  <c:v>1998</c:v>
                </c:pt>
                <c:pt idx="27">
                  <c:v>1999</c:v>
                </c:pt>
                <c:pt idx="28">
                  <c:v>2000</c:v>
                </c:pt>
                <c:pt idx="29">
                  <c:v>2001</c:v>
                </c:pt>
                <c:pt idx="30">
                  <c:v>2002</c:v>
                </c:pt>
                <c:pt idx="31">
                  <c:v>2003</c:v>
                </c:pt>
                <c:pt idx="32">
                  <c:v>2004</c:v>
                </c:pt>
                <c:pt idx="33">
                  <c:v>2005</c:v>
                </c:pt>
                <c:pt idx="34">
                  <c:v>2006</c:v>
                </c:pt>
                <c:pt idx="35">
                  <c:v>2007</c:v>
                </c:pt>
                <c:pt idx="36">
                  <c:v>2008</c:v>
                </c:pt>
                <c:pt idx="37">
                  <c:v>2009</c:v>
                </c:pt>
                <c:pt idx="38">
                  <c:v>2010</c:v>
                </c:pt>
                <c:pt idx="39">
                  <c:v>2011</c:v>
                </c:pt>
                <c:pt idx="40">
                  <c:v>2012</c:v>
                </c:pt>
              </c:numCache>
            </c:numRef>
          </c:cat>
          <c:val>
            <c:numRef>
              <c:f>Sheet1!$I$2:$I$42</c:f>
              <c:numCache>
                <c:formatCode>General</c:formatCode>
                <c:ptCount val="41"/>
                <c:pt idx="0">
                  <c:v>2.0499999999999998</c:v>
                </c:pt>
                <c:pt idx="1">
                  <c:v>2.39</c:v>
                </c:pt>
                <c:pt idx="2">
                  <c:v>2.1800000000000002</c:v>
                </c:pt>
                <c:pt idx="3">
                  <c:v>2.2200000000000002</c:v>
                </c:pt>
                <c:pt idx="4">
                  <c:v>2.0699999999999998</c:v>
                </c:pt>
                <c:pt idx="5">
                  <c:v>2.16</c:v>
                </c:pt>
                <c:pt idx="6">
                  <c:v>2.2200000000000002</c:v>
                </c:pt>
                <c:pt idx="7">
                  <c:v>2.12</c:v>
                </c:pt>
                <c:pt idx="8">
                  <c:v>2.14</c:v>
                </c:pt>
                <c:pt idx="9">
                  <c:v>1.95</c:v>
                </c:pt>
                <c:pt idx="10">
                  <c:v>2.08</c:v>
                </c:pt>
                <c:pt idx="11">
                  <c:v>2.09</c:v>
                </c:pt>
                <c:pt idx="12">
                  <c:v>1.97</c:v>
                </c:pt>
                <c:pt idx="13">
                  <c:v>2.15</c:v>
                </c:pt>
                <c:pt idx="14">
                  <c:v>2.17</c:v>
                </c:pt>
                <c:pt idx="15">
                  <c:v>2.08</c:v>
                </c:pt>
                <c:pt idx="16">
                  <c:v>2.0299999999999998</c:v>
                </c:pt>
                <c:pt idx="17">
                  <c:v>2.04</c:v>
                </c:pt>
                <c:pt idx="18">
                  <c:v>2.11</c:v>
                </c:pt>
                <c:pt idx="19">
                  <c:v>2.15</c:v>
                </c:pt>
                <c:pt idx="20">
                  <c:v>2.09</c:v>
                </c:pt>
                <c:pt idx="21">
                  <c:v>2.0499999999999998</c:v>
                </c:pt>
                <c:pt idx="22">
                  <c:v>2.06</c:v>
                </c:pt>
                <c:pt idx="23">
                  <c:v>2.0499999999999998</c:v>
                </c:pt>
                <c:pt idx="24">
                  <c:v>2.06</c:v>
                </c:pt>
                <c:pt idx="25">
                  <c:v>2.08</c:v>
                </c:pt>
                <c:pt idx="26">
                  <c:v>2.1</c:v>
                </c:pt>
                <c:pt idx="27">
                  <c:v>2.1</c:v>
                </c:pt>
                <c:pt idx="28">
                  <c:v>2.06</c:v>
                </c:pt>
                <c:pt idx="29">
                  <c:v>2.19</c:v>
                </c:pt>
                <c:pt idx="30">
                  <c:v>2.1800000000000002</c:v>
                </c:pt>
                <c:pt idx="31">
                  <c:v>2.11</c:v>
                </c:pt>
                <c:pt idx="32">
                  <c:v>2.2799999999999998</c:v>
                </c:pt>
                <c:pt idx="33">
                  <c:v>2.13</c:v>
                </c:pt>
                <c:pt idx="34">
                  <c:v>2.11</c:v>
                </c:pt>
                <c:pt idx="35">
                  <c:v>2.0699999999999998</c:v>
                </c:pt>
                <c:pt idx="36">
                  <c:v>2.06</c:v>
                </c:pt>
                <c:pt idx="37">
                  <c:v>2.08</c:v>
                </c:pt>
                <c:pt idx="38">
                  <c:v>2.04</c:v>
                </c:pt>
                <c:pt idx="39">
                  <c:v>1.99</c:v>
                </c:pt>
                <c:pt idx="40">
                  <c:v>1.94</c:v>
                </c:pt>
              </c:numCache>
            </c:numRef>
          </c:val>
          <c:smooth val="0"/>
        </c:ser>
        <c:dLbls>
          <c:showLegendKey val="0"/>
          <c:showVal val="0"/>
          <c:showCatName val="0"/>
          <c:showSerName val="0"/>
          <c:showPercent val="0"/>
          <c:showBubbleSize val="0"/>
        </c:dLbls>
        <c:marker val="1"/>
        <c:smooth val="0"/>
        <c:axId val="101361152"/>
        <c:axId val="101362688"/>
      </c:lineChart>
      <c:catAx>
        <c:axId val="101357056"/>
        <c:scaling>
          <c:orientation val="minMax"/>
        </c:scaling>
        <c:delete val="0"/>
        <c:axPos val="b"/>
        <c:title>
          <c:tx>
            <c:rich>
              <a:bodyPr/>
              <a:lstStyle/>
              <a:p>
                <a:pPr>
                  <a:defRPr sz="1100" b="1" i="0" u="none" strike="noStrike" baseline="0">
                    <a:solidFill>
                      <a:srgbClr val="000000"/>
                    </a:solidFill>
                    <a:latin typeface="Arial"/>
                    <a:ea typeface="Arial"/>
                    <a:cs typeface="Arial"/>
                  </a:defRPr>
                </a:pPr>
                <a:r>
                  <a:t>Year</a:t>
                </a:r>
              </a:p>
            </c:rich>
          </c:tx>
          <c:layout>
            <c:manualLayout>
              <c:xMode val="edge"/>
              <c:yMode val="edge"/>
              <c:x val="0.31802120141342755"/>
              <c:y val="0.9"/>
            </c:manualLayout>
          </c:layout>
          <c:overlay val="0"/>
          <c:spPr>
            <a:noFill/>
            <a:ln w="25400">
              <a:noFill/>
            </a:ln>
          </c:spPr>
        </c:title>
        <c:numFmt formatCode="General" sourceLinked="1"/>
        <c:majorTickMark val="cross"/>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101358976"/>
        <c:crosses val="autoZero"/>
        <c:auto val="0"/>
        <c:lblAlgn val="ctr"/>
        <c:lblOffset val="100"/>
        <c:tickLblSkip val="5"/>
        <c:tickMarkSkip val="1"/>
        <c:noMultiLvlLbl val="0"/>
      </c:catAx>
      <c:valAx>
        <c:axId val="101358976"/>
        <c:scaling>
          <c:orientation val="minMax"/>
        </c:scaling>
        <c:delete val="0"/>
        <c:axPos val="l"/>
        <c:majorGridlines>
          <c:spPr>
            <a:ln w="3175">
              <a:solidFill>
                <a:srgbClr val="000000"/>
              </a:solidFill>
              <a:prstDash val="solid"/>
            </a:ln>
          </c:spPr>
        </c:majorGridlines>
        <c:title>
          <c:tx>
            <c:rich>
              <a:bodyPr/>
              <a:lstStyle/>
              <a:p>
                <a:pPr>
                  <a:defRPr sz="1100" b="1" i="0" u="none" strike="noStrike" baseline="0">
                    <a:solidFill>
                      <a:srgbClr val="000000"/>
                    </a:solidFill>
                    <a:latin typeface="Arial"/>
                    <a:ea typeface="Arial"/>
                    <a:cs typeface="Arial"/>
                  </a:defRPr>
                </a:pPr>
                <a:r>
                  <a:t>Temperature (ºC)</a:t>
                </a:r>
              </a:p>
            </c:rich>
          </c:tx>
          <c:layout>
            <c:manualLayout>
              <c:xMode val="edge"/>
              <c:yMode val="edge"/>
              <c:x val="0"/>
              <c:y val="0.3411764705882353"/>
            </c:manualLayout>
          </c:layout>
          <c:overlay val="0"/>
          <c:spPr>
            <a:noFill/>
            <a:ln w="25400">
              <a:noFill/>
            </a:ln>
          </c:spPr>
        </c:title>
        <c:numFmt formatCode="General" sourceLinked="1"/>
        <c:majorTickMark val="cross"/>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101357056"/>
        <c:crosses val="autoZero"/>
        <c:crossBetween val="between"/>
      </c:valAx>
      <c:catAx>
        <c:axId val="101361152"/>
        <c:scaling>
          <c:orientation val="minMax"/>
        </c:scaling>
        <c:delete val="1"/>
        <c:axPos val="b"/>
        <c:numFmt formatCode="General" sourceLinked="1"/>
        <c:majorTickMark val="out"/>
        <c:minorTickMark val="none"/>
        <c:tickLblPos val="nextTo"/>
        <c:crossAx val="101362688"/>
        <c:crosses val="autoZero"/>
        <c:auto val="0"/>
        <c:lblAlgn val="ctr"/>
        <c:lblOffset val="100"/>
        <c:noMultiLvlLbl val="0"/>
      </c:catAx>
      <c:valAx>
        <c:axId val="101362688"/>
        <c:scaling>
          <c:orientation val="minMax"/>
        </c:scaling>
        <c:delete val="0"/>
        <c:axPos val="r"/>
        <c:title>
          <c:tx>
            <c:rich>
              <a:bodyPr/>
              <a:lstStyle/>
              <a:p>
                <a:pPr>
                  <a:defRPr sz="1100" b="1" i="0" u="none" strike="noStrike" baseline="0">
                    <a:solidFill>
                      <a:srgbClr val="000000"/>
                    </a:solidFill>
                    <a:latin typeface="Arial"/>
                    <a:ea typeface="Arial"/>
                    <a:cs typeface="Arial"/>
                  </a:defRPr>
                </a:pPr>
                <a:r>
                  <a:t>Average Beech ring width (mm)</a:t>
                </a:r>
              </a:p>
            </c:rich>
          </c:tx>
          <c:layout>
            <c:manualLayout>
              <c:xMode val="edge"/>
              <c:yMode val="edge"/>
              <c:x val="0.66607773851590102"/>
              <c:y val="0.31764705882352939"/>
            </c:manualLayout>
          </c:layout>
          <c:overlay val="0"/>
          <c:spPr>
            <a:noFill/>
            <a:ln w="25400">
              <a:noFill/>
            </a:ln>
          </c:spPr>
        </c:title>
        <c:numFmt formatCode="General" sourceLinked="1"/>
        <c:majorTickMark val="cross"/>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101361152"/>
        <c:crosses val="max"/>
        <c:crossBetween val="between"/>
      </c:valAx>
      <c:spPr>
        <a:solidFill>
          <a:srgbClr val="FFFFFF"/>
        </a:solidFill>
        <a:ln w="12700">
          <a:solidFill>
            <a:srgbClr val="808080"/>
          </a:solidFill>
          <a:prstDash val="solid"/>
        </a:ln>
      </c:spPr>
    </c:plotArea>
    <c:legend>
      <c:legendPos val="r"/>
      <c:layout>
        <c:manualLayout>
          <c:xMode val="edge"/>
          <c:yMode val="edge"/>
          <c:x val="0.74734982332155475"/>
          <c:y val="0.41764705882352943"/>
          <c:w val="0.23851590106007067"/>
          <c:h val="0.2"/>
        </c:manualLayout>
      </c:layout>
      <c:overlay val="0"/>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en-US"/>
        </a:p>
      </c:txPr>
    </c:legend>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300" b="1" i="0" u="none" strike="noStrike" baseline="0">
                <a:solidFill>
                  <a:srgbClr val="000000"/>
                </a:solidFill>
                <a:latin typeface="Arial"/>
                <a:ea typeface="Arial"/>
                <a:cs typeface="Arial"/>
              </a:defRPr>
            </a:pPr>
            <a:r>
              <a:t>The annual average temperature (ºC) Vs the average Oak ring width (mm) between 1972 and 2012</a:t>
            </a:r>
          </a:p>
        </c:rich>
      </c:tx>
      <c:layout>
        <c:manualLayout>
          <c:xMode val="edge"/>
          <c:yMode val="edge"/>
          <c:x val="0.10070671378091872"/>
          <c:y val="1.8726591760299626E-2"/>
        </c:manualLayout>
      </c:layout>
      <c:overlay val="0"/>
      <c:spPr>
        <a:noFill/>
        <a:ln w="25400">
          <a:noFill/>
        </a:ln>
      </c:spPr>
    </c:title>
    <c:autoTitleDeleted val="0"/>
    <c:plotArea>
      <c:layout>
        <c:manualLayout>
          <c:layoutTarget val="inner"/>
          <c:xMode val="edge"/>
          <c:yMode val="edge"/>
          <c:x val="0.10247349823321555"/>
          <c:y val="0.29962546816479402"/>
          <c:w val="0.5053003533568905"/>
          <c:h val="0.4606741573033708"/>
        </c:manualLayout>
      </c:layout>
      <c:barChart>
        <c:barDir val="col"/>
        <c:grouping val="clustered"/>
        <c:varyColors val="0"/>
        <c:ser>
          <c:idx val="1"/>
          <c:order val="0"/>
          <c:tx>
            <c:v>Temperature (ºC)</c:v>
          </c:tx>
          <c:spPr>
            <a:solidFill>
              <a:srgbClr val="FF0000"/>
            </a:solidFill>
            <a:ln w="12700">
              <a:solidFill>
                <a:srgbClr val="FF0000"/>
              </a:solidFill>
              <a:prstDash val="solid"/>
            </a:ln>
          </c:spPr>
          <c:invertIfNegative val="0"/>
          <c:cat>
            <c:numRef>
              <c:f>Sheet1!$A$2:$A$42</c:f>
              <c:numCache>
                <c:formatCode>General</c:formatCode>
                <c:ptCount val="41"/>
                <c:pt idx="0">
                  <c:v>1972</c:v>
                </c:pt>
                <c:pt idx="1">
                  <c:v>1973</c:v>
                </c:pt>
                <c:pt idx="2">
                  <c:v>1974</c:v>
                </c:pt>
                <c:pt idx="3">
                  <c:v>1975</c:v>
                </c:pt>
                <c:pt idx="4">
                  <c:v>1976</c:v>
                </c:pt>
                <c:pt idx="5">
                  <c:v>1977</c:v>
                </c:pt>
                <c:pt idx="6">
                  <c:v>1978</c:v>
                </c:pt>
                <c:pt idx="7">
                  <c:v>1979</c:v>
                </c:pt>
                <c:pt idx="8">
                  <c:v>1980</c:v>
                </c:pt>
                <c:pt idx="9">
                  <c:v>1981</c:v>
                </c:pt>
                <c:pt idx="10">
                  <c:v>1982</c:v>
                </c:pt>
                <c:pt idx="11">
                  <c:v>1983</c:v>
                </c:pt>
                <c:pt idx="12">
                  <c:v>1984</c:v>
                </c:pt>
                <c:pt idx="13">
                  <c:v>1985</c:v>
                </c:pt>
                <c:pt idx="14">
                  <c:v>1986</c:v>
                </c:pt>
                <c:pt idx="15">
                  <c:v>1987</c:v>
                </c:pt>
                <c:pt idx="16">
                  <c:v>1988</c:v>
                </c:pt>
                <c:pt idx="17">
                  <c:v>1989</c:v>
                </c:pt>
                <c:pt idx="18">
                  <c:v>1990</c:v>
                </c:pt>
                <c:pt idx="19">
                  <c:v>1991</c:v>
                </c:pt>
                <c:pt idx="20">
                  <c:v>1992</c:v>
                </c:pt>
                <c:pt idx="21">
                  <c:v>1993</c:v>
                </c:pt>
                <c:pt idx="22">
                  <c:v>1994</c:v>
                </c:pt>
                <c:pt idx="23">
                  <c:v>1995</c:v>
                </c:pt>
                <c:pt idx="24">
                  <c:v>1996</c:v>
                </c:pt>
                <c:pt idx="25">
                  <c:v>1997</c:v>
                </c:pt>
                <c:pt idx="26">
                  <c:v>1998</c:v>
                </c:pt>
                <c:pt idx="27">
                  <c:v>1999</c:v>
                </c:pt>
                <c:pt idx="28">
                  <c:v>2000</c:v>
                </c:pt>
                <c:pt idx="29">
                  <c:v>2001</c:v>
                </c:pt>
                <c:pt idx="30">
                  <c:v>2002</c:v>
                </c:pt>
                <c:pt idx="31">
                  <c:v>2003</c:v>
                </c:pt>
                <c:pt idx="32">
                  <c:v>2004</c:v>
                </c:pt>
                <c:pt idx="33">
                  <c:v>2005</c:v>
                </c:pt>
                <c:pt idx="34">
                  <c:v>2006</c:v>
                </c:pt>
                <c:pt idx="35">
                  <c:v>2007</c:v>
                </c:pt>
                <c:pt idx="36">
                  <c:v>2008</c:v>
                </c:pt>
                <c:pt idx="37">
                  <c:v>2009</c:v>
                </c:pt>
                <c:pt idx="38">
                  <c:v>2010</c:v>
                </c:pt>
                <c:pt idx="39">
                  <c:v>2011</c:v>
                </c:pt>
                <c:pt idx="40">
                  <c:v>2012</c:v>
                </c:pt>
              </c:numCache>
            </c:numRef>
          </c:cat>
          <c:val>
            <c:numRef>
              <c:f>Sheet1!$F$2:$F$42</c:f>
              <c:numCache>
                <c:formatCode>General</c:formatCode>
                <c:ptCount val="41"/>
                <c:pt idx="0">
                  <c:v>11.6</c:v>
                </c:pt>
                <c:pt idx="1">
                  <c:v>12</c:v>
                </c:pt>
                <c:pt idx="2">
                  <c:v>11.9</c:v>
                </c:pt>
                <c:pt idx="3">
                  <c:v>12.5</c:v>
                </c:pt>
                <c:pt idx="4">
                  <c:v>12.2</c:v>
                </c:pt>
                <c:pt idx="5">
                  <c:v>11.7</c:v>
                </c:pt>
                <c:pt idx="6">
                  <c:v>11.6</c:v>
                </c:pt>
                <c:pt idx="7">
                  <c:v>10.9</c:v>
                </c:pt>
                <c:pt idx="8">
                  <c:v>11.6</c:v>
                </c:pt>
                <c:pt idx="9">
                  <c:v>11.6</c:v>
                </c:pt>
                <c:pt idx="10">
                  <c:v>12.4</c:v>
                </c:pt>
                <c:pt idx="11">
                  <c:v>12.3</c:v>
                </c:pt>
                <c:pt idx="12">
                  <c:v>12.4</c:v>
                </c:pt>
                <c:pt idx="13">
                  <c:v>11.1</c:v>
                </c:pt>
                <c:pt idx="14">
                  <c:v>11.1</c:v>
                </c:pt>
                <c:pt idx="15">
                  <c:v>11.3</c:v>
                </c:pt>
                <c:pt idx="16">
                  <c:v>12.2</c:v>
                </c:pt>
                <c:pt idx="17">
                  <c:v>13</c:v>
                </c:pt>
                <c:pt idx="18">
                  <c:v>13</c:v>
                </c:pt>
                <c:pt idx="19">
                  <c:v>12.2</c:v>
                </c:pt>
                <c:pt idx="20">
                  <c:v>12.5</c:v>
                </c:pt>
                <c:pt idx="21">
                  <c:v>11.8</c:v>
                </c:pt>
                <c:pt idx="22">
                  <c:v>12</c:v>
                </c:pt>
                <c:pt idx="23">
                  <c:v>12.9</c:v>
                </c:pt>
                <c:pt idx="24">
                  <c:v>11.5</c:v>
                </c:pt>
                <c:pt idx="25">
                  <c:v>12.9</c:v>
                </c:pt>
                <c:pt idx="26">
                  <c:v>12.4</c:v>
                </c:pt>
                <c:pt idx="27">
                  <c:v>12.7</c:v>
                </c:pt>
                <c:pt idx="28">
                  <c:v>12.5</c:v>
                </c:pt>
                <c:pt idx="29">
                  <c:v>12.4</c:v>
                </c:pt>
                <c:pt idx="30">
                  <c:v>12.8</c:v>
                </c:pt>
                <c:pt idx="31">
                  <c:v>13.4</c:v>
                </c:pt>
                <c:pt idx="32">
                  <c:v>12.9</c:v>
                </c:pt>
                <c:pt idx="33">
                  <c:v>12.7</c:v>
                </c:pt>
                <c:pt idx="34">
                  <c:v>13</c:v>
                </c:pt>
                <c:pt idx="35">
                  <c:v>13.3</c:v>
                </c:pt>
                <c:pt idx="36">
                  <c:v>12.6</c:v>
                </c:pt>
                <c:pt idx="37">
                  <c:v>12.5</c:v>
                </c:pt>
                <c:pt idx="38">
                  <c:v>11.5</c:v>
                </c:pt>
                <c:pt idx="39">
                  <c:v>12.9</c:v>
                </c:pt>
                <c:pt idx="40">
                  <c:v>12</c:v>
                </c:pt>
              </c:numCache>
            </c:numRef>
          </c:val>
        </c:ser>
        <c:dLbls>
          <c:showLegendKey val="0"/>
          <c:showVal val="0"/>
          <c:showCatName val="0"/>
          <c:showSerName val="0"/>
          <c:showPercent val="0"/>
          <c:showBubbleSize val="0"/>
        </c:dLbls>
        <c:gapWidth val="150"/>
        <c:axId val="61672448"/>
        <c:axId val="61817984"/>
      </c:barChart>
      <c:lineChart>
        <c:grouping val="standard"/>
        <c:varyColors val="0"/>
        <c:ser>
          <c:idx val="0"/>
          <c:order val="1"/>
          <c:tx>
            <c:v>Average ring    width (mm)</c:v>
          </c:tx>
          <c:spPr>
            <a:ln w="25400">
              <a:solidFill>
                <a:srgbClr val="800080"/>
              </a:solidFill>
              <a:prstDash val="solid"/>
            </a:ln>
          </c:spPr>
          <c:marker>
            <c:symbol val="none"/>
          </c:marker>
          <c:val>
            <c:numRef>
              <c:f>Sheet1!$D$2:$D$42</c:f>
              <c:numCache>
                <c:formatCode>General</c:formatCode>
                <c:ptCount val="41"/>
                <c:pt idx="0">
                  <c:v>1.84</c:v>
                </c:pt>
                <c:pt idx="1">
                  <c:v>1.85</c:v>
                </c:pt>
                <c:pt idx="2">
                  <c:v>1.78</c:v>
                </c:pt>
                <c:pt idx="3">
                  <c:v>1.76</c:v>
                </c:pt>
                <c:pt idx="4">
                  <c:v>1.81</c:v>
                </c:pt>
                <c:pt idx="5">
                  <c:v>1.69</c:v>
                </c:pt>
                <c:pt idx="6">
                  <c:v>1.8</c:v>
                </c:pt>
                <c:pt idx="7">
                  <c:v>1.74</c:v>
                </c:pt>
                <c:pt idx="8">
                  <c:v>1.71</c:v>
                </c:pt>
                <c:pt idx="9">
                  <c:v>1.59</c:v>
                </c:pt>
                <c:pt idx="10">
                  <c:v>1.67</c:v>
                </c:pt>
                <c:pt idx="11">
                  <c:v>1.83</c:v>
                </c:pt>
                <c:pt idx="12">
                  <c:v>1.77</c:v>
                </c:pt>
                <c:pt idx="13">
                  <c:v>1.64</c:v>
                </c:pt>
                <c:pt idx="14">
                  <c:v>1.64</c:v>
                </c:pt>
                <c:pt idx="15">
                  <c:v>1.65</c:v>
                </c:pt>
                <c:pt idx="16">
                  <c:v>1.59</c:v>
                </c:pt>
                <c:pt idx="17">
                  <c:v>1.64</c:v>
                </c:pt>
                <c:pt idx="18">
                  <c:v>1.63</c:v>
                </c:pt>
                <c:pt idx="19">
                  <c:v>1.62</c:v>
                </c:pt>
                <c:pt idx="20">
                  <c:v>1.6</c:v>
                </c:pt>
                <c:pt idx="21">
                  <c:v>1.6</c:v>
                </c:pt>
                <c:pt idx="22">
                  <c:v>1.57</c:v>
                </c:pt>
                <c:pt idx="23">
                  <c:v>1.59</c:v>
                </c:pt>
                <c:pt idx="24">
                  <c:v>1.64</c:v>
                </c:pt>
                <c:pt idx="25">
                  <c:v>1.63</c:v>
                </c:pt>
                <c:pt idx="26">
                  <c:v>1.58</c:v>
                </c:pt>
                <c:pt idx="27">
                  <c:v>1.55</c:v>
                </c:pt>
                <c:pt idx="28">
                  <c:v>1.55</c:v>
                </c:pt>
                <c:pt idx="29">
                  <c:v>1.69</c:v>
                </c:pt>
                <c:pt idx="30">
                  <c:v>1.64</c:v>
                </c:pt>
                <c:pt idx="31">
                  <c:v>1.56</c:v>
                </c:pt>
                <c:pt idx="32">
                  <c:v>1.57</c:v>
                </c:pt>
                <c:pt idx="33">
                  <c:v>1.47</c:v>
                </c:pt>
                <c:pt idx="34">
                  <c:v>1.54</c:v>
                </c:pt>
                <c:pt idx="35">
                  <c:v>1.52</c:v>
                </c:pt>
                <c:pt idx="36">
                  <c:v>1.62</c:v>
                </c:pt>
                <c:pt idx="37">
                  <c:v>1.59</c:v>
                </c:pt>
                <c:pt idx="38">
                  <c:v>1.63</c:v>
                </c:pt>
                <c:pt idx="39">
                  <c:v>1.67</c:v>
                </c:pt>
                <c:pt idx="40">
                  <c:v>1.59</c:v>
                </c:pt>
              </c:numCache>
            </c:numRef>
          </c:val>
          <c:smooth val="0"/>
        </c:ser>
        <c:dLbls>
          <c:showLegendKey val="0"/>
          <c:showVal val="0"/>
          <c:showCatName val="0"/>
          <c:showSerName val="0"/>
          <c:showPercent val="0"/>
          <c:showBubbleSize val="0"/>
        </c:dLbls>
        <c:marker val="1"/>
        <c:smooth val="0"/>
        <c:axId val="61819904"/>
        <c:axId val="61833984"/>
      </c:lineChart>
      <c:catAx>
        <c:axId val="61672448"/>
        <c:scaling>
          <c:orientation val="minMax"/>
        </c:scaling>
        <c:delete val="0"/>
        <c:axPos val="b"/>
        <c:title>
          <c:tx>
            <c:rich>
              <a:bodyPr/>
              <a:lstStyle/>
              <a:p>
                <a:pPr>
                  <a:defRPr sz="1000" b="1" i="0" u="none" strike="noStrike" baseline="0">
                    <a:solidFill>
                      <a:srgbClr val="000000"/>
                    </a:solidFill>
                    <a:latin typeface="Arial"/>
                    <a:ea typeface="Arial"/>
                    <a:cs typeface="Arial"/>
                  </a:defRPr>
                </a:pPr>
                <a:r>
                  <a:t>Year</a:t>
                </a:r>
              </a:p>
            </c:rich>
          </c:tx>
          <c:layout>
            <c:manualLayout>
              <c:xMode val="edge"/>
              <c:yMode val="edge"/>
              <c:x val="0.32508833922261482"/>
              <c:y val="0.87265917602996257"/>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61817984"/>
        <c:crosses val="autoZero"/>
        <c:auto val="0"/>
        <c:lblAlgn val="ctr"/>
        <c:lblOffset val="100"/>
        <c:tickLblSkip val="5"/>
        <c:tickMarkSkip val="1"/>
        <c:noMultiLvlLbl val="0"/>
      </c:catAx>
      <c:valAx>
        <c:axId val="61817984"/>
        <c:scaling>
          <c:orientation val="minMax"/>
        </c:scaling>
        <c:delete val="0"/>
        <c:axPos val="l"/>
        <c:majorGridlines>
          <c:spPr>
            <a:ln w="3175">
              <a:solidFill>
                <a:srgbClr val="000000"/>
              </a:solidFill>
              <a:prstDash val="solid"/>
            </a:ln>
          </c:spPr>
        </c:majorGridlines>
        <c:title>
          <c:tx>
            <c:rich>
              <a:bodyPr/>
              <a:lstStyle/>
              <a:p>
                <a:pPr>
                  <a:defRPr sz="1050" b="1" i="0" u="none" strike="noStrike" baseline="0">
                    <a:solidFill>
                      <a:srgbClr val="000000"/>
                    </a:solidFill>
                    <a:latin typeface="Arial"/>
                    <a:ea typeface="Arial"/>
                    <a:cs typeface="Arial"/>
                  </a:defRPr>
                </a:pPr>
                <a:r>
                  <a:t>Temperature (ºC)</a:t>
                </a:r>
              </a:p>
            </c:rich>
          </c:tx>
          <c:layout>
            <c:manualLayout>
              <c:xMode val="edge"/>
              <c:yMode val="edge"/>
              <c:x val="0"/>
              <c:y val="0.35580524344569286"/>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61672448"/>
        <c:crosses val="autoZero"/>
        <c:crossBetween val="between"/>
      </c:valAx>
      <c:catAx>
        <c:axId val="61819904"/>
        <c:scaling>
          <c:orientation val="minMax"/>
        </c:scaling>
        <c:delete val="1"/>
        <c:axPos val="b"/>
        <c:majorTickMark val="out"/>
        <c:minorTickMark val="none"/>
        <c:tickLblPos val="nextTo"/>
        <c:crossAx val="61833984"/>
        <c:crosses val="autoZero"/>
        <c:auto val="0"/>
        <c:lblAlgn val="ctr"/>
        <c:lblOffset val="100"/>
        <c:noMultiLvlLbl val="0"/>
      </c:catAx>
      <c:valAx>
        <c:axId val="61833984"/>
        <c:scaling>
          <c:orientation val="minMax"/>
        </c:scaling>
        <c:delete val="0"/>
        <c:axPos val="r"/>
        <c:title>
          <c:tx>
            <c:rich>
              <a:bodyPr/>
              <a:lstStyle/>
              <a:p>
                <a:pPr>
                  <a:defRPr sz="1050" b="1" i="0" u="none" strike="noStrike" baseline="0">
                    <a:solidFill>
                      <a:srgbClr val="000000"/>
                    </a:solidFill>
                    <a:latin typeface="Arial"/>
                    <a:ea typeface="Arial"/>
                    <a:cs typeface="Arial"/>
                  </a:defRPr>
                </a:pPr>
                <a:r>
                  <a:t>Average Oak ring width (mm)</a:t>
                </a:r>
              </a:p>
            </c:rich>
          </c:tx>
          <c:layout>
            <c:manualLayout>
              <c:xMode val="edge"/>
              <c:yMode val="edge"/>
              <c:x val="0.64487632508833925"/>
              <c:y val="0.34831460674157305"/>
            </c:manualLayout>
          </c:layout>
          <c:overlay val="0"/>
          <c:spPr>
            <a:noFill/>
            <a:ln w="25400">
              <a:noFill/>
            </a:ln>
          </c:spPr>
        </c:title>
        <c:numFmt formatCode="General" sourceLinked="1"/>
        <c:majorTickMark val="cross"/>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61819904"/>
        <c:crosses val="max"/>
        <c:crossBetween val="between"/>
      </c:valAx>
      <c:spPr>
        <a:solidFill>
          <a:srgbClr val="FFFFFF"/>
        </a:solidFill>
        <a:ln w="12700">
          <a:solidFill>
            <a:srgbClr val="808080"/>
          </a:solidFill>
          <a:prstDash val="solid"/>
        </a:ln>
      </c:spPr>
    </c:plotArea>
    <c:legend>
      <c:legendPos val="r"/>
      <c:legendEntry>
        <c:idx val="0"/>
        <c:txPr>
          <a:bodyPr/>
          <a:lstStyle/>
          <a:p>
            <a:pPr>
              <a:defRPr sz="825" b="0" i="0" u="none" strike="noStrike" baseline="0">
                <a:solidFill>
                  <a:srgbClr val="000000"/>
                </a:solidFill>
                <a:latin typeface="Arial"/>
                <a:ea typeface="Arial"/>
                <a:cs typeface="Arial"/>
              </a:defRPr>
            </a:pPr>
            <a:endParaRPr lang="en-US"/>
          </a:p>
        </c:txPr>
      </c:legendEntry>
      <c:legendEntry>
        <c:idx val="1"/>
        <c:txPr>
          <a:bodyPr/>
          <a:lstStyle/>
          <a:p>
            <a:pPr>
              <a:defRPr sz="825" b="0" i="0" u="none" strike="noStrike" baseline="0">
                <a:solidFill>
                  <a:srgbClr val="000000"/>
                </a:solidFill>
                <a:latin typeface="Arial"/>
                <a:ea typeface="Arial"/>
                <a:cs typeface="Arial"/>
              </a:defRPr>
            </a:pPr>
            <a:endParaRPr lang="en-US"/>
          </a:p>
        </c:txPr>
      </c:legendEntry>
      <c:layout>
        <c:manualLayout>
          <c:xMode val="edge"/>
          <c:yMode val="edge"/>
          <c:x val="0.75441696113074208"/>
          <c:y val="0.42696629213483145"/>
          <c:w val="0.23498233215547704"/>
          <c:h val="0.22846441947565543"/>
        </c:manualLayout>
      </c:layout>
      <c:overlay val="0"/>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en-US"/>
        </a:p>
      </c:txPr>
    </c:legend>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375" b="1" i="0" u="none" strike="noStrike" baseline="0">
                <a:solidFill>
                  <a:srgbClr val="000000"/>
                </a:solidFill>
                <a:latin typeface="Arial"/>
                <a:ea typeface="Arial"/>
                <a:cs typeface="Arial"/>
              </a:defRPr>
            </a:pPr>
            <a:r>
              <a:t>The annual average Oak ring widths (mm) from Accrington and Sheffield between 1972 and 2003</a:t>
            </a:r>
          </a:p>
        </c:rich>
      </c:tx>
      <c:layout>
        <c:manualLayout>
          <c:xMode val="edge"/>
          <c:yMode val="edge"/>
          <c:x val="0.12190812720848057"/>
          <c:y val="2.6402640264026403E-2"/>
        </c:manualLayout>
      </c:layout>
      <c:overlay val="0"/>
      <c:spPr>
        <a:noFill/>
        <a:ln w="25400">
          <a:noFill/>
        </a:ln>
      </c:spPr>
    </c:title>
    <c:autoTitleDeleted val="0"/>
    <c:plotArea>
      <c:layout>
        <c:manualLayout>
          <c:layoutTarget val="inner"/>
          <c:xMode val="edge"/>
          <c:yMode val="edge"/>
          <c:x val="0.17491166077738515"/>
          <c:y val="0.30693069306930693"/>
          <c:w val="0.607773851590106"/>
          <c:h val="0.42244224422442245"/>
        </c:manualLayout>
      </c:layout>
      <c:lineChart>
        <c:grouping val="standard"/>
        <c:varyColors val="0"/>
        <c:ser>
          <c:idx val="0"/>
          <c:order val="0"/>
          <c:tx>
            <c:v>Sheffield ring      widths (mm)</c:v>
          </c:tx>
          <c:spPr>
            <a:ln w="25400">
              <a:solidFill>
                <a:srgbClr val="FF8080"/>
              </a:solidFill>
              <a:prstDash val="solid"/>
            </a:ln>
          </c:spPr>
          <c:marker>
            <c:symbol val="none"/>
          </c:marker>
          <c:cat>
            <c:numRef>
              <c:f>Sheet1!$A$2:$A$33</c:f>
              <c:numCache>
                <c:formatCode>General</c:formatCode>
                <c:ptCount val="32"/>
                <c:pt idx="0">
                  <c:v>1972</c:v>
                </c:pt>
                <c:pt idx="1">
                  <c:v>1973</c:v>
                </c:pt>
                <c:pt idx="2">
                  <c:v>1974</c:v>
                </c:pt>
                <c:pt idx="3">
                  <c:v>1975</c:v>
                </c:pt>
                <c:pt idx="4">
                  <c:v>1976</c:v>
                </c:pt>
                <c:pt idx="5">
                  <c:v>1977</c:v>
                </c:pt>
                <c:pt idx="6">
                  <c:v>1978</c:v>
                </c:pt>
                <c:pt idx="7">
                  <c:v>1979</c:v>
                </c:pt>
                <c:pt idx="8">
                  <c:v>1980</c:v>
                </c:pt>
                <c:pt idx="9">
                  <c:v>1981</c:v>
                </c:pt>
                <c:pt idx="10">
                  <c:v>1982</c:v>
                </c:pt>
                <c:pt idx="11">
                  <c:v>1983</c:v>
                </c:pt>
                <c:pt idx="12">
                  <c:v>1984</c:v>
                </c:pt>
                <c:pt idx="13">
                  <c:v>1985</c:v>
                </c:pt>
                <c:pt idx="14">
                  <c:v>1986</c:v>
                </c:pt>
                <c:pt idx="15">
                  <c:v>1987</c:v>
                </c:pt>
                <c:pt idx="16">
                  <c:v>1988</c:v>
                </c:pt>
                <c:pt idx="17">
                  <c:v>1989</c:v>
                </c:pt>
                <c:pt idx="18">
                  <c:v>1990</c:v>
                </c:pt>
                <c:pt idx="19">
                  <c:v>1991</c:v>
                </c:pt>
                <c:pt idx="20">
                  <c:v>1992</c:v>
                </c:pt>
                <c:pt idx="21">
                  <c:v>1993</c:v>
                </c:pt>
                <c:pt idx="22">
                  <c:v>1994</c:v>
                </c:pt>
                <c:pt idx="23">
                  <c:v>1995</c:v>
                </c:pt>
                <c:pt idx="24">
                  <c:v>1996</c:v>
                </c:pt>
                <c:pt idx="25">
                  <c:v>1997</c:v>
                </c:pt>
                <c:pt idx="26">
                  <c:v>1998</c:v>
                </c:pt>
                <c:pt idx="27">
                  <c:v>1999</c:v>
                </c:pt>
                <c:pt idx="28">
                  <c:v>2000</c:v>
                </c:pt>
                <c:pt idx="29">
                  <c:v>2001</c:v>
                </c:pt>
                <c:pt idx="30">
                  <c:v>2002</c:v>
                </c:pt>
                <c:pt idx="31">
                  <c:v>2003</c:v>
                </c:pt>
              </c:numCache>
            </c:numRef>
          </c:cat>
          <c:val>
            <c:numRef>
              <c:f>Sheet1!$C$2:$C$33</c:f>
              <c:numCache>
                <c:formatCode>General</c:formatCode>
                <c:ptCount val="32"/>
                <c:pt idx="0">
                  <c:v>1.07</c:v>
                </c:pt>
                <c:pt idx="1">
                  <c:v>1.44</c:v>
                </c:pt>
                <c:pt idx="2">
                  <c:v>1.47</c:v>
                </c:pt>
                <c:pt idx="3">
                  <c:v>1.34</c:v>
                </c:pt>
                <c:pt idx="4">
                  <c:v>1.19</c:v>
                </c:pt>
                <c:pt idx="5">
                  <c:v>1.1499999999999999</c:v>
                </c:pt>
                <c:pt idx="6">
                  <c:v>2.12</c:v>
                </c:pt>
                <c:pt idx="7">
                  <c:v>2.12</c:v>
                </c:pt>
                <c:pt idx="8">
                  <c:v>1.94</c:v>
                </c:pt>
                <c:pt idx="9">
                  <c:v>1.9</c:v>
                </c:pt>
                <c:pt idx="10">
                  <c:v>1.72</c:v>
                </c:pt>
                <c:pt idx="11">
                  <c:v>1.52</c:v>
                </c:pt>
                <c:pt idx="12">
                  <c:v>1.69</c:v>
                </c:pt>
                <c:pt idx="13">
                  <c:v>1.7</c:v>
                </c:pt>
                <c:pt idx="14">
                  <c:v>1.94</c:v>
                </c:pt>
                <c:pt idx="15">
                  <c:v>1.79</c:v>
                </c:pt>
                <c:pt idx="16">
                  <c:v>1.74</c:v>
                </c:pt>
                <c:pt idx="17">
                  <c:v>1.67</c:v>
                </c:pt>
                <c:pt idx="18">
                  <c:v>1.26</c:v>
                </c:pt>
                <c:pt idx="19">
                  <c:v>1.67</c:v>
                </c:pt>
                <c:pt idx="20">
                  <c:v>1.56</c:v>
                </c:pt>
                <c:pt idx="21">
                  <c:v>1.77</c:v>
                </c:pt>
                <c:pt idx="22">
                  <c:v>1.83</c:v>
                </c:pt>
                <c:pt idx="23">
                  <c:v>1.56</c:v>
                </c:pt>
                <c:pt idx="24">
                  <c:v>1.62</c:v>
                </c:pt>
                <c:pt idx="25">
                  <c:v>2.17</c:v>
                </c:pt>
                <c:pt idx="26">
                  <c:v>1.71</c:v>
                </c:pt>
                <c:pt idx="27">
                  <c:v>1.85</c:v>
                </c:pt>
                <c:pt idx="28">
                  <c:v>1.33</c:v>
                </c:pt>
                <c:pt idx="29">
                  <c:v>1.66</c:v>
                </c:pt>
                <c:pt idx="30">
                  <c:v>1.72</c:v>
                </c:pt>
                <c:pt idx="31">
                  <c:v>1.69</c:v>
                </c:pt>
              </c:numCache>
            </c:numRef>
          </c:val>
          <c:smooth val="1"/>
        </c:ser>
        <c:ser>
          <c:idx val="1"/>
          <c:order val="1"/>
          <c:tx>
            <c:v>Accrington ring     widths (mm)</c:v>
          </c:tx>
          <c:spPr>
            <a:ln w="25400">
              <a:solidFill>
                <a:srgbClr val="800080"/>
              </a:solidFill>
              <a:prstDash val="solid"/>
            </a:ln>
          </c:spPr>
          <c:marker>
            <c:symbol val="square"/>
            <c:size val="5"/>
            <c:spPr>
              <a:noFill/>
              <a:ln w="9525">
                <a:noFill/>
              </a:ln>
            </c:spPr>
          </c:marker>
          <c:cat>
            <c:numRef>
              <c:f>Sheet1!$A$2:$A$33</c:f>
              <c:numCache>
                <c:formatCode>General</c:formatCode>
                <c:ptCount val="32"/>
                <c:pt idx="0">
                  <c:v>1972</c:v>
                </c:pt>
                <c:pt idx="1">
                  <c:v>1973</c:v>
                </c:pt>
                <c:pt idx="2">
                  <c:v>1974</c:v>
                </c:pt>
                <c:pt idx="3">
                  <c:v>1975</c:v>
                </c:pt>
                <c:pt idx="4">
                  <c:v>1976</c:v>
                </c:pt>
                <c:pt idx="5">
                  <c:v>1977</c:v>
                </c:pt>
                <c:pt idx="6">
                  <c:v>1978</c:v>
                </c:pt>
                <c:pt idx="7">
                  <c:v>1979</c:v>
                </c:pt>
                <c:pt idx="8">
                  <c:v>1980</c:v>
                </c:pt>
                <c:pt idx="9">
                  <c:v>1981</c:v>
                </c:pt>
                <c:pt idx="10">
                  <c:v>1982</c:v>
                </c:pt>
                <c:pt idx="11">
                  <c:v>1983</c:v>
                </c:pt>
                <c:pt idx="12">
                  <c:v>1984</c:v>
                </c:pt>
                <c:pt idx="13">
                  <c:v>1985</c:v>
                </c:pt>
                <c:pt idx="14">
                  <c:v>1986</c:v>
                </c:pt>
                <c:pt idx="15">
                  <c:v>1987</c:v>
                </c:pt>
                <c:pt idx="16">
                  <c:v>1988</c:v>
                </c:pt>
                <c:pt idx="17">
                  <c:v>1989</c:v>
                </c:pt>
                <c:pt idx="18">
                  <c:v>1990</c:v>
                </c:pt>
                <c:pt idx="19">
                  <c:v>1991</c:v>
                </c:pt>
                <c:pt idx="20">
                  <c:v>1992</c:v>
                </c:pt>
                <c:pt idx="21">
                  <c:v>1993</c:v>
                </c:pt>
                <c:pt idx="22">
                  <c:v>1994</c:v>
                </c:pt>
                <c:pt idx="23">
                  <c:v>1995</c:v>
                </c:pt>
                <c:pt idx="24">
                  <c:v>1996</c:v>
                </c:pt>
                <c:pt idx="25">
                  <c:v>1997</c:v>
                </c:pt>
                <c:pt idx="26">
                  <c:v>1998</c:v>
                </c:pt>
                <c:pt idx="27">
                  <c:v>1999</c:v>
                </c:pt>
                <c:pt idx="28">
                  <c:v>2000</c:v>
                </c:pt>
                <c:pt idx="29">
                  <c:v>2001</c:v>
                </c:pt>
                <c:pt idx="30">
                  <c:v>2002</c:v>
                </c:pt>
                <c:pt idx="31">
                  <c:v>2003</c:v>
                </c:pt>
              </c:numCache>
            </c:numRef>
          </c:cat>
          <c:val>
            <c:numRef>
              <c:f>Sheet1!$D$2:$D$33</c:f>
              <c:numCache>
                <c:formatCode>General</c:formatCode>
                <c:ptCount val="32"/>
                <c:pt idx="0">
                  <c:v>1.84</c:v>
                </c:pt>
                <c:pt idx="1">
                  <c:v>1.85</c:v>
                </c:pt>
                <c:pt idx="2">
                  <c:v>1.78</c:v>
                </c:pt>
                <c:pt idx="3">
                  <c:v>1.76</c:v>
                </c:pt>
                <c:pt idx="4">
                  <c:v>1.81</c:v>
                </c:pt>
                <c:pt idx="5">
                  <c:v>1.69</c:v>
                </c:pt>
                <c:pt idx="6">
                  <c:v>1.8</c:v>
                </c:pt>
                <c:pt idx="7">
                  <c:v>1.74</c:v>
                </c:pt>
                <c:pt idx="8">
                  <c:v>1.71</c:v>
                </c:pt>
                <c:pt idx="9">
                  <c:v>1.59</c:v>
                </c:pt>
                <c:pt idx="10">
                  <c:v>1.67</c:v>
                </c:pt>
                <c:pt idx="11">
                  <c:v>1.83</c:v>
                </c:pt>
                <c:pt idx="12">
                  <c:v>1.77</c:v>
                </c:pt>
                <c:pt idx="13">
                  <c:v>1.64</c:v>
                </c:pt>
                <c:pt idx="14">
                  <c:v>1.64</c:v>
                </c:pt>
                <c:pt idx="15">
                  <c:v>1.65</c:v>
                </c:pt>
                <c:pt idx="16">
                  <c:v>1.59</c:v>
                </c:pt>
                <c:pt idx="17">
                  <c:v>1.64</c:v>
                </c:pt>
                <c:pt idx="18">
                  <c:v>1.63</c:v>
                </c:pt>
                <c:pt idx="19">
                  <c:v>1.62</c:v>
                </c:pt>
                <c:pt idx="20">
                  <c:v>1.6</c:v>
                </c:pt>
                <c:pt idx="21">
                  <c:v>1.6</c:v>
                </c:pt>
                <c:pt idx="22">
                  <c:v>1.57</c:v>
                </c:pt>
                <c:pt idx="23">
                  <c:v>1.59</c:v>
                </c:pt>
                <c:pt idx="24">
                  <c:v>1.64</c:v>
                </c:pt>
                <c:pt idx="25">
                  <c:v>1.63</c:v>
                </c:pt>
                <c:pt idx="26">
                  <c:v>1.58</c:v>
                </c:pt>
                <c:pt idx="27">
                  <c:v>1.55</c:v>
                </c:pt>
                <c:pt idx="28">
                  <c:v>1.55</c:v>
                </c:pt>
                <c:pt idx="29">
                  <c:v>1.69</c:v>
                </c:pt>
                <c:pt idx="30">
                  <c:v>1.64</c:v>
                </c:pt>
                <c:pt idx="31">
                  <c:v>1.56</c:v>
                </c:pt>
              </c:numCache>
            </c:numRef>
          </c:val>
          <c:smooth val="1"/>
        </c:ser>
        <c:dLbls>
          <c:showLegendKey val="0"/>
          <c:showVal val="0"/>
          <c:showCatName val="0"/>
          <c:showSerName val="0"/>
          <c:showPercent val="0"/>
          <c:showBubbleSize val="0"/>
        </c:dLbls>
        <c:marker val="1"/>
        <c:smooth val="0"/>
        <c:axId val="46392832"/>
        <c:axId val="61603840"/>
      </c:lineChart>
      <c:catAx>
        <c:axId val="46392832"/>
        <c:scaling>
          <c:orientation val="minMax"/>
        </c:scaling>
        <c:delete val="0"/>
        <c:axPos val="b"/>
        <c:title>
          <c:tx>
            <c:rich>
              <a:bodyPr/>
              <a:lstStyle/>
              <a:p>
                <a:pPr>
                  <a:defRPr sz="1200" b="1" i="0" u="none" strike="noStrike" baseline="0">
                    <a:solidFill>
                      <a:srgbClr val="000000"/>
                    </a:solidFill>
                    <a:latin typeface="Arial"/>
                    <a:ea typeface="Arial"/>
                    <a:cs typeface="Arial"/>
                  </a:defRPr>
                </a:pPr>
                <a:r>
                  <a:t>Year</a:t>
                </a:r>
              </a:p>
            </c:rich>
          </c:tx>
          <c:layout>
            <c:manualLayout>
              <c:xMode val="edge"/>
              <c:yMode val="edge"/>
              <c:x val="0.44169611307420492"/>
              <c:y val="0.87458745874587462"/>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1500" b="0" i="0" u="none" strike="noStrike" baseline="0">
                <a:solidFill>
                  <a:srgbClr val="000000"/>
                </a:solidFill>
                <a:latin typeface="Arial"/>
                <a:ea typeface="Arial"/>
                <a:cs typeface="Arial"/>
              </a:defRPr>
            </a:pPr>
            <a:endParaRPr lang="en-US"/>
          </a:p>
        </c:txPr>
        <c:crossAx val="61603840"/>
        <c:crosses val="autoZero"/>
        <c:auto val="1"/>
        <c:lblAlgn val="ctr"/>
        <c:lblOffset val="100"/>
        <c:tickLblSkip val="5"/>
        <c:tickMarkSkip val="5"/>
        <c:noMultiLvlLbl val="0"/>
      </c:catAx>
      <c:valAx>
        <c:axId val="61603840"/>
        <c:scaling>
          <c:orientation val="minMax"/>
        </c:scaling>
        <c:delete val="0"/>
        <c:axPos val="l"/>
        <c:majorGridlines>
          <c:spPr>
            <a:ln w="3175">
              <a:solidFill>
                <a:srgbClr val="000000"/>
              </a:solidFill>
              <a:prstDash val="solid"/>
            </a:ln>
          </c:spPr>
        </c:majorGridlines>
        <c:title>
          <c:tx>
            <c:rich>
              <a:bodyPr/>
              <a:lstStyle/>
              <a:p>
                <a:pPr>
                  <a:defRPr sz="1075" b="1" i="0" u="none" strike="noStrike" baseline="0">
                    <a:solidFill>
                      <a:srgbClr val="000000"/>
                    </a:solidFill>
                    <a:latin typeface="Arial"/>
                    <a:ea typeface="Arial"/>
                    <a:cs typeface="Arial"/>
                  </a:defRPr>
                </a:pPr>
                <a:r>
                  <a:t>Average Oak ring widths (mm)</a:t>
                </a:r>
              </a:p>
            </c:rich>
          </c:tx>
          <c:layout>
            <c:manualLayout>
              <c:xMode val="edge"/>
              <c:yMode val="edge"/>
              <c:x val="1.7667844522968199E-2"/>
              <c:y val="0.30693069306930693"/>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1500" b="0" i="0" u="none" strike="noStrike" baseline="0">
                <a:solidFill>
                  <a:srgbClr val="000000"/>
                </a:solidFill>
                <a:latin typeface="Arial"/>
                <a:ea typeface="Arial"/>
                <a:cs typeface="Arial"/>
              </a:defRPr>
            </a:pPr>
            <a:endParaRPr lang="en-US"/>
          </a:p>
        </c:txPr>
        <c:crossAx val="46392832"/>
        <c:crosses val="autoZero"/>
        <c:crossBetween val="between"/>
      </c:valAx>
      <c:spPr>
        <a:solidFill>
          <a:srgbClr val="FFFFFF"/>
        </a:solidFill>
        <a:ln w="12700">
          <a:solidFill>
            <a:srgbClr val="808080"/>
          </a:solidFill>
          <a:prstDash val="solid"/>
        </a:ln>
      </c:spPr>
    </c:plotArea>
    <c:legend>
      <c:legendPos val="r"/>
      <c:layout>
        <c:manualLayout>
          <c:xMode val="edge"/>
          <c:yMode val="edge"/>
          <c:x val="0.78621908127208484"/>
          <c:y val="0.35973597359735976"/>
          <c:w val="0.20671378091872791"/>
          <c:h val="0.27722772277227725"/>
        </c:manualLayout>
      </c:layout>
      <c:overlay val="0"/>
      <c:spPr>
        <a:solidFill>
          <a:srgbClr val="FFFFFF"/>
        </a:solidFill>
        <a:ln w="3175">
          <a:solidFill>
            <a:srgbClr val="000000"/>
          </a:solidFill>
          <a:prstDash val="solid"/>
        </a:ln>
      </c:spPr>
      <c:txPr>
        <a:bodyPr/>
        <a:lstStyle/>
        <a:p>
          <a:pPr>
            <a:defRPr sz="825" b="0" i="0" u="none" strike="noStrike" baseline="0">
              <a:solidFill>
                <a:srgbClr val="000000"/>
              </a:solidFill>
              <a:latin typeface="Arial"/>
              <a:ea typeface="Arial"/>
              <a:cs typeface="Arial"/>
            </a:defRPr>
          </a:pPr>
          <a:endParaRPr lang="en-US"/>
        </a:p>
      </c:txPr>
    </c:legend>
    <c:plotVisOnly val="1"/>
    <c:dispBlanksAs val="gap"/>
    <c:showDLblsOverMax val="0"/>
  </c:chart>
  <c:spPr>
    <a:solidFill>
      <a:srgbClr val="FFFFFF"/>
    </a:solidFill>
    <a:ln w="3175">
      <a:solidFill>
        <a:srgbClr val="000000"/>
      </a:solidFill>
      <a:prstDash val="solid"/>
    </a:ln>
  </c:spPr>
  <c:txPr>
    <a:bodyPr/>
    <a:lstStyle/>
    <a:p>
      <a:pPr>
        <a:defRPr sz="1500" b="0" i="0" u="none" strike="noStrike" baseline="0">
          <a:solidFill>
            <a:srgbClr val="000000"/>
          </a:solidFill>
          <a:latin typeface="Arial"/>
          <a:ea typeface="Arial"/>
          <a:cs typeface="Arial"/>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25" b="1" i="0" u="none" strike="noStrike" baseline="0">
                <a:solidFill>
                  <a:srgbClr val="000000"/>
                </a:solidFill>
                <a:latin typeface="Arial"/>
                <a:ea typeface="Arial"/>
                <a:cs typeface="Arial"/>
              </a:defRPr>
            </a:pPr>
            <a:r>
              <a:t>The annual average Oak ring widths (mm) for Accrington and Savernake between 1972 and 2006</a:t>
            </a:r>
          </a:p>
        </c:rich>
      </c:tx>
      <c:layout>
        <c:manualLayout>
          <c:xMode val="edge"/>
          <c:yMode val="edge"/>
          <c:x val="0.11732851985559567"/>
          <c:y val="2.5806451612903226E-2"/>
        </c:manualLayout>
      </c:layout>
      <c:overlay val="0"/>
      <c:spPr>
        <a:noFill/>
        <a:ln w="25399">
          <a:noFill/>
        </a:ln>
      </c:spPr>
    </c:title>
    <c:autoTitleDeleted val="0"/>
    <c:plotArea>
      <c:layout>
        <c:manualLayout>
          <c:layoutTarget val="inner"/>
          <c:xMode val="edge"/>
          <c:yMode val="edge"/>
          <c:x val="0.16425992779783394"/>
          <c:y val="0.35483870967741937"/>
          <c:w val="0.60649819494584833"/>
          <c:h val="0.38709677419354838"/>
        </c:manualLayout>
      </c:layout>
      <c:lineChart>
        <c:grouping val="standard"/>
        <c:varyColors val="0"/>
        <c:ser>
          <c:idx val="0"/>
          <c:order val="0"/>
          <c:tx>
            <c:v>Savernake ring      widths (mm)</c:v>
          </c:tx>
          <c:spPr>
            <a:ln w="25399">
              <a:solidFill>
                <a:srgbClr val="003366"/>
              </a:solidFill>
              <a:prstDash val="solid"/>
            </a:ln>
          </c:spPr>
          <c:marker>
            <c:symbol val="none"/>
          </c:marker>
          <c:cat>
            <c:numRef>
              <c:f>Sheet1!$A$2:$A$36</c:f>
              <c:numCache>
                <c:formatCode>General</c:formatCode>
                <c:ptCount val="35"/>
                <c:pt idx="0">
                  <c:v>1972</c:v>
                </c:pt>
                <c:pt idx="1">
                  <c:v>1973</c:v>
                </c:pt>
                <c:pt idx="2">
                  <c:v>1974</c:v>
                </c:pt>
                <c:pt idx="3">
                  <c:v>1975</c:v>
                </c:pt>
                <c:pt idx="4">
                  <c:v>1976</c:v>
                </c:pt>
                <c:pt idx="5">
                  <c:v>1977</c:v>
                </c:pt>
                <c:pt idx="6">
                  <c:v>1978</c:v>
                </c:pt>
                <c:pt idx="7">
                  <c:v>1979</c:v>
                </c:pt>
                <c:pt idx="8">
                  <c:v>1980</c:v>
                </c:pt>
                <c:pt idx="9">
                  <c:v>1981</c:v>
                </c:pt>
                <c:pt idx="10">
                  <c:v>1982</c:v>
                </c:pt>
                <c:pt idx="11">
                  <c:v>1983</c:v>
                </c:pt>
                <c:pt idx="12">
                  <c:v>1984</c:v>
                </c:pt>
                <c:pt idx="13">
                  <c:v>1985</c:v>
                </c:pt>
                <c:pt idx="14">
                  <c:v>1986</c:v>
                </c:pt>
                <c:pt idx="15">
                  <c:v>1987</c:v>
                </c:pt>
                <c:pt idx="16">
                  <c:v>1988</c:v>
                </c:pt>
                <c:pt idx="17">
                  <c:v>1989</c:v>
                </c:pt>
                <c:pt idx="18">
                  <c:v>1990</c:v>
                </c:pt>
                <c:pt idx="19">
                  <c:v>1991</c:v>
                </c:pt>
                <c:pt idx="20">
                  <c:v>1992</c:v>
                </c:pt>
                <c:pt idx="21">
                  <c:v>1993</c:v>
                </c:pt>
                <c:pt idx="22">
                  <c:v>1994</c:v>
                </c:pt>
                <c:pt idx="23">
                  <c:v>1995</c:v>
                </c:pt>
                <c:pt idx="24">
                  <c:v>1996</c:v>
                </c:pt>
                <c:pt idx="25">
                  <c:v>1997</c:v>
                </c:pt>
                <c:pt idx="26">
                  <c:v>1998</c:v>
                </c:pt>
                <c:pt idx="27">
                  <c:v>1999</c:v>
                </c:pt>
                <c:pt idx="28">
                  <c:v>2000</c:v>
                </c:pt>
                <c:pt idx="29">
                  <c:v>2001</c:v>
                </c:pt>
                <c:pt idx="30">
                  <c:v>2002</c:v>
                </c:pt>
                <c:pt idx="31">
                  <c:v>2003</c:v>
                </c:pt>
                <c:pt idx="32">
                  <c:v>2004</c:v>
                </c:pt>
                <c:pt idx="33">
                  <c:v>2005</c:v>
                </c:pt>
                <c:pt idx="34">
                  <c:v>2006</c:v>
                </c:pt>
              </c:numCache>
            </c:numRef>
          </c:cat>
          <c:val>
            <c:numRef>
              <c:f>Sheet1!$C$2:$C$36</c:f>
              <c:numCache>
                <c:formatCode>General</c:formatCode>
                <c:ptCount val="35"/>
                <c:pt idx="0">
                  <c:v>1.48</c:v>
                </c:pt>
                <c:pt idx="1">
                  <c:v>1.84</c:v>
                </c:pt>
                <c:pt idx="2">
                  <c:v>1.56</c:v>
                </c:pt>
                <c:pt idx="3">
                  <c:v>1.53</c:v>
                </c:pt>
                <c:pt idx="4">
                  <c:v>0.87</c:v>
                </c:pt>
                <c:pt idx="5">
                  <c:v>1.3</c:v>
                </c:pt>
                <c:pt idx="6">
                  <c:v>1.73</c:v>
                </c:pt>
                <c:pt idx="7">
                  <c:v>1.66</c:v>
                </c:pt>
                <c:pt idx="8">
                  <c:v>1.76</c:v>
                </c:pt>
                <c:pt idx="9">
                  <c:v>1.57</c:v>
                </c:pt>
                <c:pt idx="10">
                  <c:v>1.8</c:v>
                </c:pt>
                <c:pt idx="11">
                  <c:v>1.55</c:v>
                </c:pt>
                <c:pt idx="12">
                  <c:v>1.51</c:v>
                </c:pt>
                <c:pt idx="13">
                  <c:v>1.62</c:v>
                </c:pt>
                <c:pt idx="14">
                  <c:v>1.55</c:v>
                </c:pt>
                <c:pt idx="15">
                  <c:v>1.61</c:v>
                </c:pt>
                <c:pt idx="16">
                  <c:v>1.54</c:v>
                </c:pt>
                <c:pt idx="17">
                  <c:v>1.42</c:v>
                </c:pt>
                <c:pt idx="18">
                  <c:v>1.34</c:v>
                </c:pt>
                <c:pt idx="19">
                  <c:v>1.49</c:v>
                </c:pt>
                <c:pt idx="20">
                  <c:v>1.4</c:v>
                </c:pt>
                <c:pt idx="21">
                  <c:v>1.48</c:v>
                </c:pt>
                <c:pt idx="22">
                  <c:v>1.47</c:v>
                </c:pt>
                <c:pt idx="23">
                  <c:v>1.29</c:v>
                </c:pt>
                <c:pt idx="24">
                  <c:v>1.3</c:v>
                </c:pt>
                <c:pt idx="25">
                  <c:v>1.32</c:v>
                </c:pt>
                <c:pt idx="26">
                  <c:v>1.55</c:v>
                </c:pt>
                <c:pt idx="27">
                  <c:v>1.53</c:v>
                </c:pt>
                <c:pt idx="28">
                  <c:v>1.38</c:v>
                </c:pt>
                <c:pt idx="29">
                  <c:v>1.51</c:v>
                </c:pt>
                <c:pt idx="30">
                  <c:v>1.17</c:v>
                </c:pt>
                <c:pt idx="31">
                  <c:v>1.24</c:v>
                </c:pt>
                <c:pt idx="32">
                  <c:v>1.34</c:v>
                </c:pt>
                <c:pt idx="33">
                  <c:v>1.03</c:v>
                </c:pt>
                <c:pt idx="34">
                  <c:v>1.33</c:v>
                </c:pt>
              </c:numCache>
            </c:numRef>
          </c:val>
          <c:smooth val="1"/>
        </c:ser>
        <c:ser>
          <c:idx val="1"/>
          <c:order val="1"/>
          <c:tx>
            <c:v>Accrington ring    widths (mm)</c:v>
          </c:tx>
          <c:spPr>
            <a:ln w="25399">
              <a:solidFill>
                <a:srgbClr val="800080"/>
              </a:solidFill>
              <a:prstDash val="solid"/>
            </a:ln>
          </c:spPr>
          <c:marker>
            <c:symbol val="none"/>
          </c:marker>
          <c:cat>
            <c:numRef>
              <c:f>Sheet1!$A$2:$A$36</c:f>
              <c:numCache>
                <c:formatCode>General</c:formatCode>
                <c:ptCount val="35"/>
                <c:pt idx="0">
                  <c:v>1972</c:v>
                </c:pt>
                <c:pt idx="1">
                  <c:v>1973</c:v>
                </c:pt>
                <c:pt idx="2">
                  <c:v>1974</c:v>
                </c:pt>
                <c:pt idx="3">
                  <c:v>1975</c:v>
                </c:pt>
                <c:pt idx="4">
                  <c:v>1976</c:v>
                </c:pt>
                <c:pt idx="5">
                  <c:v>1977</c:v>
                </c:pt>
                <c:pt idx="6">
                  <c:v>1978</c:v>
                </c:pt>
                <c:pt idx="7">
                  <c:v>1979</c:v>
                </c:pt>
                <c:pt idx="8">
                  <c:v>1980</c:v>
                </c:pt>
                <c:pt idx="9">
                  <c:v>1981</c:v>
                </c:pt>
                <c:pt idx="10">
                  <c:v>1982</c:v>
                </c:pt>
                <c:pt idx="11">
                  <c:v>1983</c:v>
                </c:pt>
                <c:pt idx="12">
                  <c:v>1984</c:v>
                </c:pt>
                <c:pt idx="13">
                  <c:v>1985</c:v>
                </c:pt>
                <c:pt idx="14">
                  <c:v>1986</c:v>
                </c:pt>
                <c:pt idx="15">
                  <c:v>1987</c:v>
                </c:pt>
                <c:pt idx="16">
                  <c:v>1988</c:v>
                </c:pt>
                <c:pt idx="17">
                  <c:v>1989</c:v>
                </c:pt>
                <c:pt idx="18">
                  <c:v>1990</c:v>
                </c:pt>
                <c:pt idx="19">
                  <c:v>1991</c:v>
                </c:pt>
                <c:pt idx="20">
                  <c:v>1992</c:v>
                </c:pt>
                <c:pt idx="21">
                  <c:v>1993</c:v>
                </c:pt>
                <c:pt idx="22">
                  <c:v>1994</c:v>
                </c:pt>
                <c:pt idx="23">
                  <c:v>1995</c:v>
                </c:pt>
                <c:pt idx="24">
                  <c:v>1996</c:v>
                </c:pt>
                <c:pt idx="25">
                  <c:v>1997</c:v>
                </c:pt>
                <c:pt idx="26">
                  <c:v>1998</c:v>
                </c:pt>
                <c:pt idx="27">
                  <c:v>1999</c:v>
                </c:pt>
                <c:pt idx="28">
                  <c:v>2000</c:v>
                </c:pt>
                <c:pt idx="29">
                  <c:v>2001</c:v>
                </c:pt>
                <c:pt idx="30">
                  <c:v>2002</c:v>
                </c:pt>
                <c:pt idx="31">
                  <c:v>2003</c:v>
                </c:pt>
                <c:pt idx="32">
                  <c:v>2004</c:v>
                </c:pt>
                <c:pt idx="33">
                  <c:v>2005</c:v>
                </c:pt>
                <c:pt idx="34">
                  <c:v>2006</c:v>
                </c:pt>
              </c:numCache>
            </c:numRef>
          </c:cat>
          <c:val>
            <c:numRef>
              <c:f>Sheet1!$B$2:$B$36</c:f>
              <c:numCache>
                <c:formatCode>General</c:formatCode>
                <c:ptCount val="35"/>
                <c:pt idx="0">
                  <c:v>1.84</c:v>
                </c:pt>
                <c:pt idx="1">
                  <c:v>1.85</c:v>
                </c:pt>
                <c:pt idx="2">
                  <c:v>1.78</c:v>
                </c:pt>
                <c:pt idx="3">
                  <c:v>1.76</c:v>
                </c:pt>
                <c:pt idx="4">
                  <c:v>1.81</c:v>
                </c:pt>
                <c:pt idx="5">
                  <c:v>1.69</c:v>
                </c:pt>
                <c:pt idx="6">
                  <c:v>1.8</c:v>
                </c:pt>
                <c:pt idx="7">
                  <c:v>1.74</c:v>
                </c:pt>
                <c:pt idx="8">
                  <c:v>1.71</c:v>
                </c:pt>
                <c:pt idx="9">
                  <c:v>1.59</c:v>
                </c:pt>
                <c:pt idx="10">
                  <c:v>1.67</c:v>
                </c:pt>
                <c:pt idx="11">
                  <c:v>1.83</c:v>
                </c:pt>
                <c:pt idx="12">
                  <c:v>1.77</c:v>
                </c:pt>
                <c:pt idx="13">
                  <c:v>1.64</c:v>
                </c:pt>
                <c:pt idx="14">
                  <c:v>1.64</c:v>
                </c:pt>
                <c:pt idx="15">
                  <c:v>1.65</c:v>
                </c:pt>
                <c:pt idx="16">
                  <c:v>1.59</c:v>
                </c:pt>
                <c:pt idx="17">
                  <c:v>1.64</c:v>
                </c:pt>
                <c:pt idx="18">
                  <c:v>1.63</c:v>
                </c:pt>
                <c:pt idx="19">
                  <c:v>1.62</c:v>
                </c:pt>
                <c:pt idx="20">
                  <c:v>1.6</c:v>
                </c:pt>
                <c:pt idx="21">
                  <c:v>1.6</c:v>
                </c:pt>
                <c:pt idx="22">
                  <c:v>1.57</c:v>
                </c:pt>
                <c:pt idx="23">
                  <c:v>1.59</c:v>
                </c:pt>
                <c:pt idx="24">
                  <c:v>1.64</c:v>
                </c:pt>
                <c:pt idx="25">
                  <c:v>1.63</c:v>
                </c:pt>
                <c:pt idx="26">
                  <c:v>1.58</c:v>
                </c:pt>
                <c:pt idx="27">
                  <c:v>1.55</c:v>
                </c:pt>
                <c:pt idx="28">
                  <c:v>1.55</c:v>
                </c:pt>
                <c:pt idx="29">
                  <c:v>1.69</c:v>
                </c:pt>
                <c:pt idx="30">
                  <c:v>1.64</c:v>
                </c:pt>
                <c:pt idx="31">
                  <c:v>1.56</c:v>
                </c:pt>
                <c:pt idx="32">
                  <c:v>1.57</c:v>
                </c:pt>
                <c:pt idx="33">
                  <c:v>1.47</c:v>
                </c:pt>
                <c:pt idx="34">
                  <c:v>1.54</c:v>
                </c:pt>
              </c:numCache>
            </c:numRef>
          </c:val>
          <c:smooth val="1"/>
        </c:ser>
        <c:dLbls>
          <c:showLegendKey val="0"/>
          <c:showVal val="0"/>
          <c:showCatName val="0"/>
          <c:showSerName val="0"/>
          <c:showPercent val="0"/>
          <c:showBubbleSize val="0"/>
        </c:dLbls>
        <c:marker val="1"/>
        <c:smooth val="0"/>
        <c:axId val="26311296"/>
        <c:axId val="26321664"/>
      </c:lineChart>
      <c:catAx>
        <c:axId val="26311296"/>
        <c:scaling>
          <c:orientation val="minMax"/>
        </c:scaling>
        <c:delete val="0"/>
        <c:axPos val="b"/>
        <c:title>
          <c:tx>
            <c:rich>
              <a:bodyPr/>
              <a:lstStyle/>
              <a:p>
                <a:pPr>
                  <a:defRPr sz="1200" b="1" i="0" u="none" strike="noStrike" baseline="0">
                    <a:solidFill>
                      <a:srgbClr val="000000"/>
                    </a:solidFill>
                    <a:latin typeface="Arial"/>
                    <a:ea typeface="Arial"/>
                    <a:cs typeface="Arial"/>
                  </a:defRPr>
                </a:pPr>
                <a:r>
                  <a:t>Year</a:t>
                </a:r>
              </a:p>
            </c:rich>
          </c:tx>
          <c:layout>
            <c:manualLayout>
              <c:xMode val="edge"/>
              <c:yMode val="edge"/>
              <c:x val="0.4296028880866426"/>
              <c:y val="0.8774193548387097"/>
            </c:manualLayout>
          </c:layout>
          <c:overlay val="0"/>
          <c:spPr>
            <a:noFill/>
            <a:ln w="25399">
              <a:noFill/>
            </a:ln>
          </c:spPr>
        </c:title>
        <c:numFmt formatCode="General" sourceLinked="1"/>
        <c:majorTickMark val="out"/>
        <c:minorTickMark val="none"/>
        <c:tickLblPos val="nextTo"/>
        <c:spPr>
          <a:ln w="3175">
            <a:solidFill>
              <a:srgbClr val="000000"/>
            </a:solidFill>
            <a:prstDash val="solid"/>
          </a:ln>
        </c:spPr>
        <c:txPr>
          <a:bodyPr rot="0" vert="horz"/>
          <a:lstStyle/>
          <a:p>
            <a:pPr>
              <a:defRPr sz="1350" b="0" i="0" u="none" strike="noStrike" baseline="0">
                <a:solidFill>
                  <a:srgbClr val="000000"/>
                </a:solidFill>
                <a:latin typeface="Arial"/>
                <a:ea typeface="Arial"/>
                <a:cs typeface="Arial"/>
              </a:defRPr>
            </a:pPr>
            <a:endParaRPr lang="en-US"/>
          </a:p>
        </c:txPr>
        <c:crossAx val="26321664"/>
        <c:crosses val="autoZero"/>
        <c:auto val="1"/>
        <c:lblAlgn val="ctr"/>
        <c:lblOffset val="100"/>
        <c:tickLblSkip val="6"/>
        <c:tickMarkSkip val="5"/>
        <c:noMultiLvlLbl val="0"/>
      </c:catAx>
      <c:valAx>
        <c:axId val="26321664"/>
        <c:scaling>
          <c:orientation val="minMax"/>
          <c:min val="0.8"/>
        </c:scaling>
        <c:delete val="0"/>
        <c:axPos val="l"/>
        <c:majorGridlines>
          <c:spPr>
            <a:ln w="3175">
              <a:solidFill>
                <a:srgbClr val="000000"/>
              </a:solidFill>
              <a:prstDash val="solid"/>
            </a:ln>
          </c:spPr>
        </c:majorGridlines>
        <c:title>
          <c:tx>
            <c:rich>
              <a:bodyPr/>
              <a:lstStyle/>
              <a:p>
                <a:pPr>
                  <a:defRPr sz="1125" b="1" i="0" u="none" strike="noStrike" baseline="0">
                    <a:solidFill>
                      <a:srgbClr val="000000"/>
                    </a:solidFill>
                    <a:latin typeface="Arial"/>
                    <a:ea typeface="Arial"/>
                    <a:cs typeface="Arial"/>
                  </a:defRPr>
                </a:pPr>
                <a:r>
                  <a:t>Average Oak ring widths (mm)</a:t>
                </a:r>
              </a:p>
            </c:rich>
          </c:tx>
          <c:layout>
            <c:manualLayout>
              <c:xMode val="edge"/>
              <c:yMode val="edge"/>
              <c:x val="7.2202166064981952E-3"/>
              <c:y val="0.34193548387096773"/>
            </c:manualLayout>
          </c:layout>
          <c:overlay val="0"/>
          <c:spPr>
            <a:noFill/>
            <a:ln w="25399">
              <a:noFill/>
            </a:ln>
          </c:spPr>
        </c:title>
        <c:numFmt formatCode="General" sourceLinked="1"/>
        <c:majorTickMark val="out"/>
        <c:minorTickMark val="none"/>
        <c:tickLblPos val="nextTo"/>
        <c:spPr>
          <a:ln w="3175">
            <a:solidFill>
              <a:srgbClr val="000000"/>
            </a:solidFill>
            <a:prstDash val="solid"/>
          </a:ln>
        </c:spPr>
        <c:txPr>
          <a:bodyPr rot="0" vert="horz"/>
          <a:lstStyle/>
          <a:p>
            <a:pPr>
              <a:defRPr sz="1350" b="0" i="0" u="none" strike="noStrike" baseline="0">
                <a:solidFill>
                  <a:srgbClr val="000000"/>
                </a:solidFill>
                <a:latin typeface="Arial"/>
                <a:ea typeface="Arial"/>
                <a:cs typeface="Arial"/>
              </a:defRPr>
            </a:pPr>
            <a:endParaRPr lang="en-US"/>
          </a:p>
        </c:txPr>
        <c:crossAx val="26311296"/>
        <c:crosses val="autoZero"/>
        <c:crossBetween val="between"/>
        <c:majorUnit val="0.4"/>
      </c:valAx>
      <c:spPr>
        <a:solidFill>
          <a:srgbClr val="FFFFFF"/>
        </a:solidFill>
        <a:ln w="12700">
          <a:solidFill>
            <a:srgbClr val="808080"/>
          </a:solidFill>
          <a:prstDash val="solid"/>
        </a:ln>
      </c:spPr>
    </c:plotArea>
    <c:legend>
      <c:legendPos val="r"/>
      <c:layout>
        <c:manualLayout>
          <c:xMode val="edge"/>
          <c:yMode val="edge"/>
          <c:x val="0.77797833935018046"/>
          <c:y val="0.41290322580645161"/>
          <c:w val="0.2148014440433213"/>
          <c:h val="0.24516129032258063"/>
        </c:manualLayout>
      </c:layout>
      <c:overlay val="0"/>
      <c:spPr>
        <a:solidFill>
          <a:srgbClr val="FFFFFF"/>
        </a:solidFill>
        <a:ln w="3175">
          <a:solidFill>
            <a:srgbClr val="000000"/>
          </a:solidFill>
          <a:prstDash val="solid"/>
        </a:ln>
      </c:spPr>
      <c:txPr>
        <a:bodyPr/>
        <a:lstStyle/>
        <a:p>
          <a:pPr>
            <a:defRPr sz="825" b="0" i="0" u="none" strike="noStrike" baseline="0">
              <a:solidFill>
                <a:srgbClr val="000000"/>
              </a:solidFill>
              <a:latin typeface="Arial"/>
              <a:ea typeface="Arial"/>
              <a:cs typeface="Arial"/>
            </a:defRPr>
          </a:pPr>
          <a:endParaRPr lang="en-US"/>
        </a:p>
      </c:txPr>
    </c:legend>
    <c:plotVisOnly val="1"/>
    <c:dispBlanksAs val="gap"/>
    <c:showDLblsOverMax val="0"/>
  </c:chart>
  <c:spPr>
    <a:solidFill>
      <a:srgbClr val="FFFFFF"/>
    </a:solidFill>
    <a:ln w="3175">
      <a:solidFill>
        <a:srgbClr val="000000"/>
      </a:solidFill>
      <a:prstDash val="solid"/>
    </a:ln>
  </c:spPr>
  <c:txPr>
    <a:bodyPr/>
    <a:lstStyle/>
    <a:p>
      <a:pPr>
        <a:defRPr sz="1500" b="0" i="0" u="none" strike="noStrike" baseline="0">
          <a:solidFill>
            <a:srgbClr val="000000"/>
          </a:solidFill>
          <a:latin typeface="Arial"/>
          <a:ea typeface="Arial"/>
          <a:cs typeface="Arial"/>
        </a:defRPr>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350" b="1" i="0" u="none" strike="noStrike" baseline="0">
                <a:solidFill>
                  <a:srgbClr val="000000"/>
                </a:solidFill>
                <a:latin typeface="Arial"/>
                <a:ea typeface="Arial"/>
                <a:cs typeface="Arial"/>
              </a:defRPr>
            </a:pPr>
            <a:r>
              <a:t>The annual average Oak ring widths (mm) for Accrington and East Pomerania between 1972 and 1985</a:t>
            </a:r>
          </a:p>
        </c:rich>
      </c:tx>
      <c:layout>
        <c:manualLayout>
          <c:xMode val="edge"/>
          <c:yMode val="edge"/>
          <c:x val="0.10196078431372549"/>
          <c:y val="2.0338983050847456E-2"/>
        </c:manualLayout>
      </c:layout>
      <c:overlay val="0"/>
      <c:spPr>
        <a:noFill/>
        <a:ln w="25401">
          <a:noFill/>
        </a:ln>
      </c:spPr>
    </c:title>
    <c:autoTitleDeleted val="0"/>
    <c:plotArea>
      <c:layout>
        <c:manualLayout>
          <c:layoutTarget val="inner"/>
          <c:xMode val="edge"/>
          <c:yMode val="edge"/>
          <c:x val="0.17254901960784313"/>
          <c:y val="0.36610169491525424"/>
          <c:w val="0.56470588235294117"/>
          <c:h val="0.35254237288135593"/>
        </c:manualLayout>
      </c:layout>
      <c:lineChart>
        <c:grouping val="standard"/>
        <c:varyColors val="0"/>
        <c:ser>
          <c:idx val="0"/>
          <c:order val="0"/>
          <c:tx>
            <c:v>East Pomerania     ring widths (mm)</c:v>
          </c:tx>
          <c:spPr>
            <a:ln w="25401">
              <a:solidFill>
                <a:srgbClr val="FF00FF"/>
              </a:solidFill>
              <a:prstDash val="solid"/>
            </a:ln>
          </c:spPr>
          <c:marker>
            <c:symbol val="none"/>
          </c:marker>
          <c:cat>
            <c:numRef>
              <c:f>Sheet1!$A$2:$A$15</c:f>
              <c:numCache>
                <c:formatCode>General</c:formatCode>
                <c:ptCount val="14"/>
                <c:pt idx="0">
                  <c:v>1972</c:v>
                </c:pt>
                <c:pt idx="1">
                  <c:v>1973</c:v>
                </c:pt>
                <c:pt idx="2">
                  <c:v>1974</c:v>
                </c:pt>
                <c:pt idx="3">
                  <c:v>1975</c:v>
                </c:pt>
                <c:pt idx="4">
                  <c:v>1976</c:v>
                </c:pt>
                <c:pt idx="5">
                  <c:v>1977</c:v>
                </c:pt>
                <c:pt idx="6">
                  <c:v>1978</c:v>
                </c:pt>
                <c:pt idx="7">
                  <c:v>1979</c:v>
                </c:pt>
                <c:pt idx="8">
                  <c:v>1980</c:v>
                </c:pt>
                <c:pt idx="9">
                  <c:v>1981</c:v>
                </c:pt>
                <c:pt idx="10">
                  <c:v>1982</c:v>
                </c:pt>
                <c:pt idx="11">
                  <c:v>1983</c:v>
                </c:pt>
                <c:pt idx="12">
                  <c:v>1984</c:v>
                </c:pt>
                <c:pt idx="13">
                  <c:v>1985</c:v>
                </c:pt>
              </c:numCache>
            </c:numRef>
          </c:cat>
          <c:val>
            <c:numRef>
              <c:f>Sheet1!$D$2:$D$15</c:f>
              <c:numCache>
                <c:formatCode>General</c:formatCode>
                <c:ptCount val="14"/>
                <c:pt idx="0">
                  <c:v>1.53</c:v>
                </c:pt>
                <c:pt idx="1">
                  <c:v>1.3</c:v>
                </c:pt>
                <c:pt idx="2">
                  <c:v>1.35</c:v>
                </c:pt>
                <c:pt idx="3">
                  <c:v>1.28</c:v>
                </c:pt>
                <c:pt idx="4">
                  <c:v>1.19</c:v>
                </c:pt>
                <c:pt idx="5">
                  <c:v>1.35</c:v>
                </c:pt>
                <c:pt idx="6">
                  <c:v>1.39</c:v>
                </c:pt>
                <c:pt idx="7">
                  <c:v>1.44</c:v>
                </c:pt>
                <c:pt idx="8">
                  <c:v>1.77</c:v>
                </c:pt>
                <c:pt idx="9">
                  <c:v>1.48</c:v>
                </c:pt>
                <c:pt idx="10">
                  <c:v>1.48</c:v>
                </c:pt>
                <c:pt idx="11">
                  <c:v>1.41</c:v>
                </c:pt>
                <c:pt idx="12">
                  <c:v>1.51</c:v>
                </c:pt>
                <c:pt idx="13">
                  <c:v>1.36</c:v>
                </c:pt>
              </c:numCache>
            </c:numRef>
          </c:val>
          <c:smooth val="1"/>
        </c:ser>
        <c:ser>
          <c:idx val="1"/>
          <c:order val="1"/>
          <c:tx>
            <c:v>Accrington ring     widths (mm)</c:v>
          </c:tx>
          <c:spPr>
            <a:ln w="25401">
              <a:solidFill>
                <a:srgbClr val="800080"/>
              </a:solidFill>
              <a:prstDash val="solid"/>
            </a:ln>
          </c:spPr>
          <c:marker>
            <c:symbol val="none"/>
          </c:marker>
          <c:cat>
            <c:numRef>
              <c:f>Sheet1!$A$2:$A$15</c:f>
              <c:numCache>
                <c:formatCode>General</c:formatCode>
                <c:ptCount val="14"/>
                <c:pt idx="0">
                  <c:v>1972</c:v>
                </c:pt>
                <c:pt idx="1">
                  <c:v>1973</c:v>
                </c:pt>
                <c:pt idx="2">
                  <c:v>1974</c:v>
                </c:pt>
                <c:pt idx="3">
                  <c:v>1975</c:v>
                </c:pt>
                <c:pt idx="4">
                  <c:v>1976</c:v>
                </c:pt>
                <c:pt idx="5">
                  <c:v>1977</c:v>
                </c:pt>
                <c:pt idx="6">
                  <c:v>1978</c:v>
                </c:pt>
                <c:pt idx="7">
                  <c:v>1979</c:v>
                </c:pt>
                <c:pt idx="8">
                  <c:v>1980</c:v>
                </c:pt>
                <c:pt idx="9">
                  <c:v>1981</c:v>
                </c:pt>
                <c:pt idx="10">
                  <c:v>1982</c:v>
                </c:pt>
                <c:pt idx="11">
                  <c:v>1983</c:v>
                </c:pt>
                <c:pt idx="12">
                  <c:v>1984</c:v>
                </c:pt>
                <c:pt idx="13">
                  <c:v>1985</c:v>
                </c:pt>
              </c:numCache>
            </c:numRef>
          </c:cat>
          <c:val>
            <c:numRef>
              <c:f>Sheet1!$E$2:$E$15</c:f>
              <c:numCache>
                <c:formatCode>General</c:formatCode>
                <c:ptCount val="14"/>
                <c:pt idx="0">
                  <c:v>1.84</c:v>
                </c:pt>
                <c:pt idx="1">
                  <c:v>1.85</c:v>
                </c:pt>
                <c:pt idx="2">
                  <c:v>1.78</c:v>
                </c:pt>
                <c:pt idx="3">
                  <c:v>1.76</c:v>
                </c:pt>
                <c:pt idx="4">
                  <c:v>1.81</c:v>
                </c:pt>
                <c:pt idx="5">
                  <c:v>1.69</c:v>
                </c:pt>
                <c:pt idx="6">
                  <c:v>1.8</c:v>
                </c:pt>
                <c:pt idx="7">
                  <c:v>1.74</c:v>
                </c:pt>
                <c:pt idx="8">
                  <c:v>1.71</c:v>
                </c:pt>
                <c:pt idx="9">
                  <c:v>1.59</c:v>
                </c:pt>
                <c:pt idx="10">
                  <c:v>1.67</c:v>
                </c:pt>
                <c:pt idx="11">
                  <c:v>1.83</c:v>
                </c:pt>
                <c:pt idx="12">
                  <c:v>1.77</c:v>
                </c:pt>
                <c:pt idx="13">
                  <c:v>1.64</c:v>
                </c:pt>
              </c:numCache>
            </c:numRef>
          </c:val>
          <c:smooth val="1"/>
        </c:ser>
        <c:dLbls>
          <c:showLegendKey val="0"/>
          <c:showVal val="0"/>
          <c:showCatName val="0"/>
          <c:showSerName val="0"/>
          <c:showPercent val="0"/>
          <c:showBubbleSize val="0"/>
        </c:dLbls>
        <c:marker val="1"/>
        <c:smooth val="0"/>
        <c:axId val="25123840"/>
        <c:axId val="25154688"/>
      </c:lineChart>
      <c:catAx>
        <c:axId val="25123840"/>
        <c:scaling>
          <c:orientation val="minMax"/>
        </c:scaling>
        <c:delete val="0"/>
        <c:axPos val="b"/>
        <c:title>
          <c:tx>
            <c:rich>
              <a:bodyPr/>
              <a:lstStyle/>
              <a:p>
                <a:pPr>
                  <a:defRPr sz="1175" b="1" i="0" u="none" strike="noStrike" baseline="0">
                    <a:solidFill>
                      <a:srgbClr val="000000"/>
                    </a:solidFill>
                    <a:latin typeface="Arial"/>
                    <a:ea typeface="Arial"/>
                    <a:cs typeface="Arial"/>
                  </a:defRPr>
                </a:pPr>
                <a:r>
                  <a:t>Year</a:t>
                </a:r>
              </a:p>
            </c:rich>
          </c:tx>
          <c:layout>
            <c:manualLayout>
              <c:xMode val="edge"/>
              <c:yMode val="edge"/>
              <c:x val="0.4137254901960784"/>
              <c:y val="0.8677966101694915"/>
            </c:manualLayout>
          </c:layout>
          <c:overlay val="0"/>
          <c:spPr>
            <a:noFill/>
            <a:ln w="25401">
              <a:noFill/>
            </a:ln>
          </c:spPr>
        </c:title>
        <c:numFmt formatCode="General" sourceLinked="1"/>
        <c:majorTickMark val="out"/>
        <c:minorTickMark val="none"/>
        <c:tickLblPos val="nextTo"/>
        <c:spPr>
          <a:ln w="3175">
            <a:solidFill>
              <a:srgbClr val="000000"/>
            </a:solidFill>
            <a:prstDash val="solid"/>
          </a:ln>
        </c:spPr>
        <c:txPr>
          <a:bodyPr rot="0" vert="horz"/>
          <a:lstStyle/>
          <a:p>
            <a:pPr>
              <a:defRPr sz="1475" b="0" i="0" u="none" strike="noStrike" baseline="0">
                <a:solidFill>
                  <a:srgbClr val="000000"/>
                </a:solidFill>
                <a:latin typeface="Arial"/>
                <a:ea typeface="Arial"/>
                <a:cs typeface="Arial"/>
              </a:defRPr>
            </a:pPr>
            <a:endParaRPr lang="en-US"/>
          </a:p>
        </c:txPr>
        <c:crossAx val="25154688"/>
        <c:crosses val="autoZero"/>
        <c:auto val="1"/>
        <c:lblAlgn val="ctr"/>
        <c:lblOffset val="100"/>
        <c:tickLblSkip val="3"/>
        <c:tickMarkSkip val="1"/>
        <c:noMultiLvlLbl val="0"/>
      </c:catAx>
      <c:valAx>
        <c:axId val="25154688"/>
        <c:scaling>
          <c:orientation val="minMax"/>
          <c:min val="1"/>
        </c:scaling>
        <c:delete val="0"/>
        <c:axPos val="l"/>
        <c:majorGridlines>
          <c:spPr>
            <a:ln w="3175">
              <a:solidFill>
                <a:srgbClr val="000000"/>
              </a:solidFill>
              <a:prstDash val="solid"/>
            </a:ln>
          </c:spPr>
        </c:majorGridlines>
        <c:title>
          <c:tx>
            <c:rich>
              <a:bodyPr/>
              <a:lstStyle/>
              <a:p>
                <a:pPr>
                  <a:defRPr sz="1175" b="1" i="0" u="none" strike="noStrike" baseline="0">
                    <a:solidFill>
                      <a:srgbClr val="000000"/>
                    </a:solidFill>
                    <a:latin typeface="Arial"/>
                    <a:ea typeface="Arial"/>
                    <a:cs typeface="Arial"/>
                  </a:defRPr>
                </a:pPr>
                <a:r>
                  <a:t>Average Oak ring widths (mm)</a:t>
                </a:r>
              </a:p>
            </c:rich>
          </c:tx>
          <c:layout>
            <c:manualLayout>
              <c:xMode val="edge"/>
              <c:yMode val="edge"/>
              <c:x val="0"/>
              <c:y val="0.30847457627118646"/>
            </c:manualLayout>
          </c:layout>
          <c:overlay val="0"/>
          <c:spPr>
            <a:noFill/>
            <a:ln w="25401">
              <a:noFill/>
            </a:ln>
          </c:spPr>
        </c:title>
        <c:numFmt formatCode="General" sourceLinked="1"/>
        <c:majorTickMark val="out"/>
        <c:minorTickMark val="none"/>
        <c:tickLblPos val="nextTo"/>
        <c:spPr>
          <a:ln w="3175">
            <a:solidFill>
              <a:srgbClr val="000000"/>
            </a:solidFill>
            <a:prstDash val="solid"/>
          </a:ln>
        </c:spPr>
        <c:txPr>
          <a:bodyPr rot="0" vert="horz"/>
          <a:lstStyle/>
          <a:p>
            <a:pPr>
              <a:defRPr sz="1475" b="0" i="0" u="none" strike="noStrike" baseline="0">
                <a:solidFill>
                  <a:srgbClr val="000000"/>
                </a:solidFill>
                <a:latin typeface="Arial"/>
                <a:ea typeface="Arial"/>
                <a:cs typeface="Arial"/>
              </a:defRPr>
            </a:pPr>
            <a:endParaRPr lang="en-US"/>
          </a:p>
        </c:txPr>
        <c:crossAx val="25123840"/>
        <c:crosses val="autoZero"/>
        <c:crossBetween val="between"/>
        <c:majorUnit val="0.2"/>
      </c:valAx>
      <c:spPr>
        <a:solidFill>
          <a:srgbClr val="FFFFFF"/>
        </a:solidFill>
        <a:ln w="12700">
          <a:solidFill>
            <a:srgbClr val="808080"/>
          </a:solidFill>
          <a:prstDash val="solid"/>
        </a:ln>
      </c:spPr>
    </c:plotArea>
    <c:legend>
      <c:legendPos val="r"/>
      <c:layout>
        <c:manualLayout>
          <c:xMode val="edge"/>
          <c:yMode val="edge"/>
          <c:x val="0.74509803921568629"/>
          <c:y val="0.41694915254237286"/>
          <c:w val="0.25098039215686274"/>
          <c:h val="0.2440677966101695"/>
        </c:manualLayout>
      </c:layout>
      <c:overlay val="0"/>
      <c:spPr>
        <a:solidFill>
          <a:srgbClr val="FFFFFF"/>
        </a:solidFill>
        <a:ln w="3175">
          <a:solidFill>
            <a:srgbClr val="000000"/>
          </a:solidFill>
          <a:prstDash val="solid"/>
        </a:ln>
      </c:spPr>
      <c:txPr>
        <a:bodyPr/>
        <a:lstStyle/>
        <a:p>
          <a:pPr>
            <a:defRPr sz="825" b="0" i="0" u="none" strike="noStrike" baseline="0">
              <a:solidFill>
                <a:srgbClr val="000000"/>
              </a:solidFill>
              <a:latin typeface="Arial"/>
              <a:ea typeface="Arial"/>
              <a:cs typeface="Arial"/>
            </a:defRPr>
          </a:pPr>
          <a:endParaRPr lang="en-US"/>
        </a:p>
      </c:txPr>
    </c:legend>
    <c:plotVisOnly val="1"/>
    <c:dispBlanksAs val="gap"/>
    <c:showDLblsOverMax val="0"/>
  </c:chart>
  <c:spPr>
    <a:solidFill>
      <a:srgbClr val="FFFFFF"/>
    </a:solidFill>
    <a:ln w="3175">
      <a:solidFill>
        <a:srgbClr val="000000"/>
      </a:solidFill>
      <a:prstDash val="solid"/>
    </a:ln>
  </c:spPr>
  <c:txPr>
    <a:bodyPr/>
    <a:lstStyle/>
    <a:p>
      <a:pPr>
        <a:defRPr sz="1200" b="0" i="0" u="none" strike="noStrike" baseline="0">
          <a:solidFill>
            <a:srgbClr val="000000"/>
          </a:solidFill>
          <a:latin typeface="Arial"/>
          <a:ea typeface="Arial"/>
          <a:cs typeface="Arial"/>
        </a:defRPr>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74" b="1" i="0" u="none" strike="noStrike" baseline="0">
                <a:solidFill>
                  <a:srgbClr val="000000"/>
                </a:solidFill>
                <a:latin typeface="Arial"/>
                <a:ea typeface="Arial"/>
                <a:cs typeface="Arial"/>
              </a:defRPr>
            </a:pPr>
            <a:r>
              <a:t>The annual average Oak ring widths (mm) for Sheffield and East Pomerania between 1972 and 1985</a:t>
            </a:r>
          </a:p>
        </c:rich>
      </c:tx>
      <c:layout>
        <c:manualLayout>
          <c:xMode val="edge"/>
          <c:yMode val="edge"/>
          <c:x val="0.11468812877263582"/>
          <c:y val="3.6290322580645164E-2"/>
        </c:manualLayout>
      </c:layout>
      <c:overlay val="0"/>
      <c:spPr>
        <a:noFill/>
        <a:ln w="25384">
          <a:noFill/>
        </a:ln>
      </c:spPr>
    </c:title>
    <c:autoTitleDeleted val="0"/>
    <c:plotArea>
      <c:layout>
        <c:manualLayout>
          <c:layoutTarget val="inner"/>
          <c:xMode val="edge"/>
          <c:yMode val="edge"/>
          <c:x val="0.17907444668008049"/>
          <c:y val="0.39919354838709675"/>
          <c:w val="0.54124748490945673"/>
          <c:h val="0.34677419354838712"/>
        </c:manualLayout>
      </c:layout>
      <c:lineChart>
        <c:grouping val="standard"/>
        <c:varyColors val="0"/>
        <c:ser>
          <c:idx val="0"/>
          <c:order val="0"/>
          <c:tx>
            <c:v>Sheffield ring widths (mm)</c:v>
          </c:tx>
          <c:spPr>
            <a:ln w="25384">
              <a:solidFill>
                <a:srgbClr val="FF8080"/>
              </a:solidFill>
              <a:prstDash val="solid"/>
            </a:ln>
          </c:spPr>
          <c:marker>
            <c:symbol val="none"/>
          </c:marker>
          <c:cat>
            <c:numRef>
              <c:f>Sheet1!$A$2:$A$15</c:f>
              <c:numCache>
                <c:formatCode>General</c:formatCode>
                <c:ptCount val="14"/>
                <c:pt idx="0">
                  <c:v>1972</c:v>
                </c:pt>
                <c:pt idx="1">
                  <c:v>1973</c:v>
                </c:pt>
                <c:pt idx="2">
                  <c:v>1974</c:v>
                </c:pt>
                <c:pt idx="3">
                  <c:v>1975</c:v>
                </c:pt>
                <c:pt idx="4">
                  <c:v>1976</c:v>
                </c:pt>
                <c:pt idx="5">
                  <c:v>1977</c:v>
                </c:pt>
                <c:pt idx="6">
                  <c:v>1978</c:v>
                </c:pt>
                <c:pt idx="7">
                  <c:v>1979</c:v>
                </c:pt>
                <c:pt idx="8">
                  <c:v>1980</c:v>
                </c:pt>
                <c:pt idx="9">
                  <c:v>1981</c:v>
                </c:pt>
                <c:pt idx="10">
                  <c:v>1982</c:v>
                </c:pt>
                <c:pt idx="11">
                  <c:v>1983</c:v>
                </c:pt>
                <c:pt idx="12">
                  <c:v>1984</c:v>
                </c:pt>
                <c:pt idx="13">
                  <c:v>1985</c:v>
                </c:pt>
              </c:numCache>
            </c:numRef>
          </c:cat>
          <c:val>
            <c:numRef>
              <c:f>Sheet1!$E$2:$E$15</c:f>
              <c:numCache>
                <c:formatCode>General</c:formatCode>
                <c:ptCount val="14"/>
                <c:pt idx="0">
                  <c:v>1.07</c:v>
                </c:pt>
                <c:pt idx="1">
                  <c:v>1.44</c:v>
                </c:pt>
                <c:pt idx="2">
                  <c:v>1.47</c:v>
                </c:pt>
                <c:pt idx="3">
                  <c:v>1.34</c:v>
                </c:pt>
                <c:pt idx="4">
                  <c:v>1.19</c:v>
                </c:pt>
                <c:pt idx="5">
                  <c:v>1.1499999999999999</c:v>
                </c:pt>
                <c:pt idx="6">
                  <c:v>2.12</c:v>
                </c:pt>
                <c:pt idx="7">
                  <c:v>2.12</c:v>
                </c:pt>
                <c:pt idx="8">
                  <c:v>1.94</c:v>
                </c:pt>
                <c:pt idx="9">
                  <c:v>1.9</c:v>
                </c:pt>
                <c:pt idx="10">
                  <c:v>1.72</c:v>
                </c:pt>
                <c:pt idx="11">
                  <c:v>1.52</c:v>
                </c:pt>
                <c:pt idx="12">
                  <c:v>1.69</c:v>
                </c:pt>
                <c:pt idx="13">
                  <c:v>1.7</c:v>
                </c:pt>
              </c:numCache>
            </c:numRef>
          </c:val>
          <c:smooth val="1"/>
        </c:ser>
        <c:ser>
          <c:idx val="1"/>
          <c:order val="1"/>
          <c:tx>
            <c:v>East Pomerania    ring widths (mm)</c:v>
          </c:tx>
          <c:spPr>
            <a:ln w="25384">
              <a:solidFill>
                <a:srgbClr val="FF00FF"/>
              </a:solidFill>
              <a:prstDash val="solid"/>
            </a:ln>
          </c:spPr>
          <c:marker>
            <c:symbol val="none"/>
          </c:marker>
          <c:cat>
            <c:numRef>
              <c:f>Sheet1!$A$2:$A$15</c:f>
              <c:numCache>
                <c:formatCode>General</c:formatCode>
                <c:ptCount val="14"/>
                <c:pt idx="0">
                  <c:v>1972</c:v>
                </c:pt>
                <c:pt idx="1">
                  <c:v>1973</c:v>
                </c:pt>
                <c:pt idx="2">
                  <c:v>1974</c:v>
                </c:pt>
                <c:pt idx="3">
                  <c:v>1975</c:v>
                </c:pt>
                <c:pt idx="4">
                  <c:v>1976</c:v>
                </c:pt>
                <c:pt idx="5">
                  <c:v>1977</c:v>
                </c:pt>
                <c:pt idx="6">
                  <c:v>1978</c:v>
                </c:pt>
                <c:pt idx="7">
                  <c:v>1979</c:v>
                </c:pt>
                <c:pt idx="8">
                  <c:v>1980</c:v>
                </c:pt>
                <c:pt idx="9">
                  <c:v>1981</c:v>
                </c:pt>
                <c:pt idx="10">
                  <c:v>1982</c:v>
                </c:pt>
                <c:pt idx="11">
                  <c:v>1983</c:v>
                </c:pt>
                <c:pt idx="12">
                  <c:v>1984</c:v>
                </c:pt>
                <c:pt idx="13">
                  <c:v>1985</c:v>
                </c:pt>
              </c:numCache>
            </c:numRef>
          </c:cat>
          <c:val>
            <c:numRef>
              <c:f>Sheet1!$D$2:$D$15</c:f>
              <c:numCache>
                <c:formatCode>General</c:formatCode>
                <c:ptCount val="14"/>
                <c:pt idx="0">
                  <c:v>1.53</c:v>
                </c:pt>
                <c:pt idx="1">
                  <c:v>1.3</c:v>
                </c:pt>
                <c:pt idx="2">
                  <c:v>1.35</c:v>
                </c:pt>
                <c:pt idx="3">
                  <c:v>1.28</c:v>
                </c:pt>
                <c:pt idx="4">
                  <c:v>1.19</c:v>
                </c:pt>
                <c:pt idx="5">
                  <c:v>1.35</c:v>
                </c:pt>
                <c:pt idx="6">
                  <c:v>1.39</c:v>
                </c:pt>
                <c:pt idx="7">
                  <c:v>1.44</c:v>
                </c:pt>
                <c:pt idx="8">
                  <c:v>1.77</c:v>
                </c:pt>
                <c:pt idx="9">
                  <c:v>1.48</c:v>
                </c:pt>
                <c:pt idx="10">
                  <c:v>1.48</c:v>
                </c:pt>
                <c:pt idx="11">
                  <c:v>1.41</c:v>
                </c:pt>
                <c:pt idx="12">
                  <c:v>1.51</c:v>
                </c:pt>
                <c:pt idx="13">
                  <c:v>1.36</c:v>
                </c:pt>
              </c:numCache>
            </c:numRef>
          </c:val>
          <c:smooth val="1"/>
        </c:ser>
        <c:dLbls>
          <c:showLegendKey val="0"/>
          <c:showVal val="0"/>
          <c:showCatName val="0"/>
          <c:showSerName val="0"/>
          <c:showPercent val="0"/>
          <c:showBubbleSize val="0"/>
        </c:dLbls>
        <c:marker val="1"/>
        <c:smooth val="0"/>
        <c:axId val="22188032"/>
        <c:axId val="22189952"/>
      </c:lineChart>
      <c:catAx>
        <c:axId val="22188032"/>
        <c:scaling>
          <c:orientation val="minMax"/>
        </c:scaling>
        <c:delete val="0"/>
        <c:axPos val="b"/>
        <c:title>
          <c:tx>
            <c:rich>
              <a:bodyPr/>
              <a:lstStyle/>
              <a:p>
                <a:pPr>
                  <a:defRPr sz="1074" b="1" i="0" u="none" strike="noStrike" baseline="0">
                    <a:solidFill>
                      <a:srgbClr val="000000"/>
                    </a:solidFill>
                    <a:latin typeface="Arial"/>
                    <a:ea typeface="Arial"/>
                    <a:cs typeface="Arial"/>
                  </a:defRPr>
                </a:pPr>
                <a:r>
                  <a:t>Year</a:t>
                </a:r>
              </a:p>
            </c:rich>
          </c:tx>
          <c:layout>
            <c:manualLayout>
              <c:xMode val="edge"/>
              <c:yMode val="edge"/>
              <c:x val="0.41046277665995978"/>
              <c:y val="0.88709677419354838"/>
            </c:manualLayout>
          </c:layout>
          <c:overlay val="0"/>
          <c:spPr>
            <a:noFill/>
            <a:ln w="25384">
              <a:noFill/>
            </a:ln>
          </c:spPr>
        </c:title>
        <c:numFmt formatCode="General" sourceLinked="1"/>
        <c:majorTickMark val="out"/>
        <c:minorTickMark val="none"/>
        <c:tickLblPos val="nextTo"/>
        <c:spPr>
          <a:ln w="3173">
            <a:solidFill>
              <a:srgbClr val="000000"/>
            </a:solidFill>
            <a:prstDash val="solid"/>
          </a:ln>
        </c:spPr>
        <c:txPr>
          <a:bodyPr rot="0" vert="horz"/>
          <a:lstStyle/>
          <a:p>
            <a:pPr>
              <a:defRPr sz="1199" b="0" i="0" u="none" strike="noStrike" baseline="0">
                <a:solidFill>
                  <a:srgbClr val="000000"/>
                </a:solidFill>
                <a:latin typeface="Arial"/>
                <a:ea typeface="Arial"/>
                <a:cs typeface="Arial"/>
              </a:defRPr>
            </a:pPr>
            <a:endParaRPr lang="en-US"/>
          </a:p>
        </c:txPr>
        <c:crossAx val="22189952"/>
        <c:crosses val="autoZero"/>
        <c:auto val="1"/>
        <c:lblAlgn val="ctr"/>
        <c:lblOffset val="100"/>
        <c:tickLblSkip val="3"/>
        <c:tickMarkSkip val="1"/>
        <c:noMultiLvlLbl val="0"/>
      </c:catAx>
      <c:valAx>
        <c:axId val="22189952"/>
        <c:scaling>
          <c:orientation val="minMax"/>
          <c:max val="2.2999999999999998"/>
          <c:min val="1"/>
        </c:scaling>
        <c:delete val="0"/>
        <c:axPos val="l"/>
        <c:majorGridlines>
          <c:spPr>
            <a:ln w="3173">
              <a:solidFill>
                <a:srgbClr val="000000"/>
              </a:solidFill>
              <a:prstDash val="solid"/>
            </a:ln>
          </c:spPr>
        </c:majorGridlines>
        <c:title>
          <c:tx>
            <c:rich>
              <a:bodyPr/>
              <a:lstStyle/>
              <a:p>
                <a:pPr>
                  <a:defRPr sz="1049" b="1" i="0" u="none" strike="noStrike" baseline="0">
                    <a:solidFill>
                      <a:srgbClr val="000000"/>
                    </a:solidFill>
                    <a:latin typeface="Arial"/>
                    <a:ea typeface="Arial"/>
                    <a:cs typeface="Arial"/>
                  </a:defRPr>
                </a:pPr>
                <a:r>
                  <a:t>Average Oak ring widths (mm)</a:t>
                </a:r>
              </a:p>
            </c:rich>
          </c:tx>
          <c:layout>
            <c:manualLayout>
              <c:xMode val="edge"/>
              <c:yMode val="edge"/>
              <c:x val="0"/>
              <c:y val="0.37903225806451613"/>
            </c:manualLayout>
          </c:layout>
          <c:overlay val="0"/>
          <c:spPr>
            <a:noFill/>
            <a:ln w="25384">
              <a:noFill/>
            </a:ln>
          </c:spPr>
        </c:title>
        <c:numFmt formatCode="General" sourceLinked="1"/>
        <c:majorTickMark val="out"/>
        <c:minorTickMark val="none"/>
        <c:tickLblPos val="nextTo"/>
        <c:spPr>
          <a:ln w="3173">
            <a:solidFill>
              <a:srgbClr val="000000"/>
            </a:solidFill>
            <a:prstDash val="solid"/>
          </a:ln>
        </c:spPr>
        <c:txPr>
          <a:bodyPr rot="0" vert="horz"/>
          <a:lstStyle/>
          <a:p>
            <a:pPr>
              <a:defRPr sz="1199" b="0" i="0" u="none" strike="noStrike" baseline="0">
                <a:solidFill>
                  <a:srgbClr val="000000"/>
                </a:solidFill>
                <a:latin typeface="Arial"/>
                <a:ea typeface="Arial"/>
                <a:cs typeface="Arial"/>
              </a:defRPr>
            </a:pPr>
            <a:endParaRPr lang="en-US"/>
          </a:p>
        </c:txPr>
        <c:crossAx val="22188032"/>
        <c:crosses val="autoZero"/>
        <c:crossBetween val="between"/>
        <c:majorUnit val="0.3"/>
      </c:valAx>
      <c:spPr>
        <a:solidFill>
          <a:srgbClr val="FFFFFF"/>
        </a:solidFill>
        <a:ln w="12692">
          <a:solidFill>
            <a:srgbClr val="808080"/>
          </a:solidFill>
          <a:prstDash val="solid"/>
        </a:ln>
      </c:spPr>
    </c:plotArea>
    <c:legend>
      <c:legendPos val="r"/>
      <c:layout>
        <c:manualLayout>
          <c:xMode val="edge"/>
          <c:yMode val="edge"/>
          <c:x val="0.73440643863179078"/>
          <c:y val="0.41532258064516131"/>
          <c:w val="0.2595573440643863"/>
          <c:h val="0.31048387096774194"/>
        </c:manualLayout>
      </c:layout>
      <c:overlay val="0"/>
      <c:spPr>
        <a:solidFill>
          <a:srgbClr val="FFFFFF"/>
        </a:solidFill>
        <a:ln w="3173">
          <a:solidFill>
            <a:srgbClr val="000000"/>
          </a:solidFill>
          <a:prstDash val="solid"/>
        </a:ln>
      </c:spPr>
      <c:txPr>
        <a:bodyPr/>
        <a:lstStyle/>
        <a:p>
          <a:pPr>
            <a:defRPr sz="824" b="0" i="0" u="none" strike="noStrike" baseline="0">
              <a:solidFill>
                <a:srgbClr val="000000"/>
              </a:solidFill>
              <a:latin typeface="Arial"/>
              <a:ea typeface="Arial"/>
              <a:cs typeface="Arial"/>
            </a:defRPr>
          </a:pPr>
          <a:endParaRPr lang="en-US"/>
        </a:p>
      </c:txPr>
    </c:legend>
    <c:plotVisOnly val="1"/>
    <c:dispBlanksAs val="gap"/>
    <c:showDLblsOverMax val="0"/>
  </c:chart>
  <c:spPr>
    <a:solidFill>
      <a:srgbClr val="FFFFFF"/>
    </a:solidFill>
    <a:ln w="3173">
      <a:solidFill>
        <a:srgbClr val="000000"/>
      </a:solidFill>
      <a:prstDash val="solid"/>
    </a:ln>
  </c:spPr>
  <c:txPr>
    <a:bodyPr/>
    <a:lstStyle/>
    <a:p>
      <a:pPr>
        <a:defRPr sz="1199" b="0" i="0" u="none" strike="noStrike" baseline="0">
          <a:solidFill>
            <a:srgbClr val="000000"/>
          </a:solidFill>
          <a:latin typeface="Arial"/>
          <a:ea typeface="Arial"/>
          <a:cs typeface="Arial"/>
        </a:defRPr>
      </a:pPr>
      <a:endParaRPr lang="en-U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23" b="1" i="0" u="none" strike="noStrike" baseline="0">
                <a:solidFill>
                  <a:srgbClr val="000000"/>
                </a:solidFill>
                <a:latin typeface="Arial"/>
                <a:ea typeface="Arial"/>
                <a:cs typeface="Arial"/>
              </a:defRPr>
            </a:pPr>
            <a:r>
              <a:t>The annual average Oak ring widths (mm) for Sheffield and Savernake between 1972 and 2003</a:t>
            </a:r>
          </a:p>
        </c:rich>
      </c:tx>
      <c:layout>
        <c:manualLayout>
          <c:xMode val="edge"/>
          <c:yMode val="edge"/>
          <c:x val="0.10332749562171628"/>
          <c:y val="1.8315018315018316E-2"/>
        </c:manualLayout>
      </c:layout>
      <c:overlay val="0"/>
      <c:spPr>
        <a:noFill/>
        <a:ln w="25369">
          <a:noFill/>
        </a:ln>
      </c:spPr>
    </c:title>
    <c:autoTitleDeleted val="0"/>
    <c:plotArea>
      <c:layout>
        <c:manualLayout>
          <c:layoutTarget val="inner"/>
          <c:xMode val="edge"/>
          <c:yMode val="edge"/>
          <c:x val="0.1628721541155867"/>
          <c:y val="0.33333333333333331"/>
          <c:w val="0.60420315236427324"/>
          <c:h val="0.41025641025641024"/>
        </c:manualLayout>
      </c:layout>
      <c:lineChart>
        <c:grouping val="standard"/>
        <c:varyColors val="0"/>
        <c:ser>
          <c:idx val="0"/>
          <c:order val="0"/>
          <c:tx>
            <c:v>Sheffield ring     widths (mm)</c:v>
          </c:tx>
          <c:spPr>
            <a:ln w="25369">
              <a:solidFill>
                <a:srgbClr val="FF8080"/>
              </a:solidFill>
              <a:prstDash val="solid"/>
            </a:ln>
          </c:spPr>
          <c:marker>
            <c:symbol val="none"/>
          </c:marker>
          <c:cat>
            <c:numRef>
              <c:f>Sheet1!$A$2:$A$33</c:f>
              <c:numCache>
                <c:formatCode>General</c:formatCode>
                <c:ptCount val="32"/>
                <c:pt idx="0">
                  <c:v>1972</c:v>
                </c:pt>
                <c:pt idx="1">
                  <c:v>1973</c:v>
                </c:pt>
                <c:pt idx="2">
                  <c:v>1974</c:v>
                </c:pt>
                <c:pt idx="3">
                  <c:v>1975</c:v>
                </c:pt>
                <c:pt idx="4">
                  <c:v>1976</c:v>
                </c:pt>
                <c:pt idx="5">
                  <c:v>1977</c:v>
                </c:pt>
                <c:pt idx="6">
                  <c:v>1978</c:v>
                </c:pt>
                <c:pt idx="7">
                  <c:v>1979</c:v>
                </c:pt>
                <c:pt idx="8">
                  <c:v>1980</c:v>
                </c:pt>
                <c:pt idx="9">
                  <c:v>1981</c:v>
                </c:pt>
                <c:pt idx="10">
                  <c:v>1982</c:v>
                </c:pt>
                <c:pt idx="11">
                  <c:v>1983</c:v>
                </c:pt>
                <c:pt idx="12">
                  <c:v>1984</c:v>
                </c:pt>
                <c:pt idx="13">
                  <c:v>1985</c:v>
                </c:pt>
                <c:pt idx="14">
                  <c:v>1986</c:v>
                </c:pt>
                <c:pt idx="15">
                  <c:v>1987</c:v>
                </c:pt>
                <c:pt idx="16">
                  <c:v>1988</c:v>
                </c:pt>
                <c:pt idx="17">
                  <c:v>1989</c:v>
                </c:pt>
                <c:pt idx="18">
                  <c:v>1990</c:v>
                </c:pt>
                <c:pt idx="19">
                  <c:v>1991</c:v>
                </c:pt>
                <c:pt idx="20">
                  <c:v>1992</c:v>
                </c:pt>
                <c:pt idx="21">
                  <c:v>1993</c:v>
                </c:pt>
                <c:pt idx="22">
                  <c:v>1994</c:v>
                </c:pt>
                <c:pt idx="23">
                  <c:v>1995</c:v>
                </c:pt>
                <c:pt idx="24">
                  <c:v>1996</c:v>
                </c:pt>
                <c:pt idx="25">
                  <c:v>1997</c:v>
                </c:pt>
                <c:pt idx="26">
                  <c:v>1998</c:v>
                </c:pt>
                <c:pt idx="27">
                  <c:v>1999</c:v>
                </c:pt>
                <c:pt idx="28">
                  <c:v>2000</c:v>
                </c:pt>
                <c:pt idx="29">
                  <c:v>2001</c:v>
                </c:pt>
                <c:pt idx="30">
                  <c:v>2002</c:v>
                </c:pt>
                <c:pt idx="31">
                  <c:v>2003</c:v>
                </c:pt>
              </c:numCache>
            </c:numRef>
          </c:cat>
          <c:val>
            <c:numRef>
              <c:f>Sheet1!$E$2:$E$33</c:f>
              <c:numCache>
                <c:formatCode>General</c:formatCode>
                <c:ptCount val="32"/>
                <c:pt idx="0">
                  <c:v>1.07</c:v>
                </c:pt>
                <c:pt idx="1">
                  <c:v>1.44</c:v>
                </c:pt>
                <c:pt idx="2">
                  <c:v>1.47</c:v>
                </c:pt>
                <c:pt idx="3">
                  <c:v>1.34</c:v>
                </c:pt>
                <c:pt idx="4">
                  <c:v>1.19</c:v>
                </c:pt>
                <c:pt idx="5">
                  <c:v>1.1499999999999999</c:v>
                </c:pt>
                <c:pt idx="6">
                  <c:v>2.12</c:v>
                </c:pt>
                <c:pt idx="7">
                  <c:v>2.12</c:v>
                </c:pt>
                <c:pt idx="8">
                  <c:v>1.94</c:v>
                </c:pt>
                <c:pt idx="9">
                  <c:v>1.9</c:v>
                </c:pt>
                <c:pt idx="10">
                  <c:v>1.72</c:v>
                </c:pt>
                <c:pt idx="11">
                  <c:v>1.52</c:v>
                </c:pt>
                <c:pt idx="12">
                  <c:v>1.69</c:v>
                </c:pt>
                <c:pt idx="13">
                  <c:v>1.7</c:v>
                </c:pt>
                <c:pt idx="14">
                  <c:v>1.94</c:v>
                </c:pt>
                <c:pt idx="15">
                  <c:v>1.79</c:v>
                </c:pt>
                <c:pt idx="16">
                  <c:v>1.74</c:v>
                </c:pt>
                <c:pt idx="17">
                  <c:v>1.67</c:v>
                </c:pt>
                <c:pt idx="18">
                  <c:v>1.26</c:v>
                </c:pt>
                <c:pt idx="19">
                  <c:v>1.67</c:v>
                </c:pt>
                <c:pt idx="20">
                  <c:v>1.56</c:v>
                </c:pt>
                <c:pt idx="21">
                  <c:v>1.77</c:v>
                </c:pt>
                <c:pt idx="22">
                  <c:v>1.83</c:v>
                </c:pt>
                <c:pt idx="23">
                  <c:v>1.56</c:v>
                </c:pt>
                <c:pt idx="24">
                  <c:v>1.62</c:v>
                </c:pt>
                <c:pt idx="25">
                  <c:v>2.17</c:v>
                </c:pt>
                <c:pt idx="26">
                  <c:v>1.71</c:v>
                </c:pt>
                <c:pt idx="27">
                  <c:v>1.85</c:v>
                </c:pt>
                <c:pt idx="28">
                  <c:v>1.33</c:v>
                </c:pt>
                <c:pt idx="29">
                  <c:v>1.66</c:v>
                </c:pt>
                <c:pt idx="30">
                  <c:v>1.72</c:v>
                </c:pt>
                <c:pt idx="31">
                  <c:v>1.69</c:v>
                </c:pt>
              </c:numCache>
            </c:numRef>
          </c:val>
          <c:smooth val="1"/>
        </c:ser>
        <c:ser>
          <c:idx val="1"/>
          <c:order val="1"/>
          <c:tx>
            <c:v>Savernake ring      widths (mm)</c:v>
          </c:tx>
          <c:spPr>
            <a:ln w="25369">
              <a:solidFill>
                <a:srgbClr val="003366"/>
              </a:solidFill>
              <a:prstDash val="solid"/>
            </a:ln>
          </c:spPr>
          <c:marker>
            <c:symbol val="none"/>
          </c:marker>
          <c:cat>
            <c:numRef>
              <c:f>Sheet1!$A$2:$A$33</c:f>
              <c:numCache>
                <c:formatCode>General</c:formatCode>
                <c:ptCount val="32"/>
                <c:pt idx="0">
                  <c:v>1972</c:v>
                </c:pt>
                <c:pt idx="1">
                  <c:v>1973</c:v>
                </c:pt>
                <c:pt idx="2">
                  <c:v>1974</c:v>
                </c:pt>
                <c:pt idx="3">
                  <c:v>1975</c:v>
                </c:pt>
                <c:pt idx="4">
                  <c:v>1976</c:v>
                </c:pt>
                <c:pt idx="5">
                  <c:v>1977</c:v>
                </c:pt>
                <c:pt idx="6">
                  <c:v>1978</c:v>
                </c:pt>
                <c:pt idx="7">
                  <c:v>1979</c:v>
                </c:pt>
                <c:pt idx="8">
                  <c:v>1980</c:v>
                </c:pt>
                <c:pt idx="9">
                  <c:v>1981</c:v>
                </c:pt>
                <c:pt idx="10">
                  <c:v>1982</c:v>
                </c:pt>
                <c:pt idx="11">
                  <c:v>1983</c:v>
                </c:pt>
                <c:pt idx="12">
                  <c:v>1984</c:v>
                </c:pt>
                <c:pt idx="13">
                  <c:v>1985</c:v>
                </c:pt>
                <c:pt idx="14">
                  <c:v>1986</c:v>
                </c:pt>
                <c:pt idx="15">
                  <c:v>1987</c:v>
                </c:pt>
                <c:pt idx="16">
                  <c:v>1988</c:v>
                </c:pt>
                <c:pt idx="17">
                  <c:v>1989</c:v>
                </c:pt>
                <c:pt idx="18">
                  <c:v>1990</c:v>
                </c:pt>
                <c:pt idx="19">
                  <c:v>1991</c:v>
                </c:pt>
                <c:pt idx="20">
                  <c:v>1992</c:v>
                </c:pt>
                <c:pt idx="21">
                  <c:v>1993</c:v>
                </c:pt>
                <c:pt idx="22">
                  <c:v>1994</c:v>
                </c:pt>
                <c:pt idx="23">
                  <c:v>1995</c:v>
                </c:pt>
                <c:pt idx="24">
                  <c:v>1996</c:v>
                </c:pt>
                <c:pt idx="25">
                  <c:v>1997</c:v>
                </c:pt>
                <c:pt idx="26">
                  <c:v>1998</c:v>
                </c:pt>
                <c:pt idx="27">
                  <c:v>1999</c:v>
                </c:pt>
                <c:pt idx="28">
                  <c:v>2000</c:v>
                </c:pt>
                <c:pt idx="29">
                  <c:v>2001</c:v>
                </c:pt>
                <c:pt idx="30">
                  <c:v>2002</c:v>
                </c:pt>
                <c:pt idx="31">
                  <c:v>2003</c:v>
                </c:pt>
              </c:numCache>
            </c:numRef>
          </c:cat>
          <c:val>
            <c:numRef>
              <c:f>Sheet1!$F$2:$F$33</c:f>
              <c:numCache>
                <c:formatCode>General</c:formatCode>
                <c:ptCount val="32"/>
                <c:pt idx="0">
                  <c:v>1.48</c:v>
                </c:pt>
                <c:pt idx="1">
                  <c:v>1.84</c:v>
                </c:pt>
                <c:pt idx="2">
                  <c:v>1.56</c:v>
                </c:pt>
                <c:pt idx="3">
                  <c:v>1.53</c:v>
                </c:pt>
                <c:pt idx="4">
                  <c:v>0.87</c:v>
                </c:pt>
                <c:pt idx="5">
                  <c:v>1.3</c:v>
                </c:pt>
                <c:pt idx="6">
                  <c:v>1.73</c:v>
                </c:pt>
                <c:pt idx="7">
                  <c:v>1.66</c:v>
                </c:pt>
                <c:pt idx="8">
                  <c:v>1.76</c:v>
                </c:pt>
                <c:pt idx="9">
                  <c:v>1.57</c:v>
                </c:pt>
                <c:pt idx="10">
                  <c:v>1.8</c:v>
                </c:pt>
                <c:pt idx="11">
                  <c:v>1.55</c:v>
                </c:pt>
                <c:pt idx="12">
                  <c:v>1.51</c:v>
                </c:pt>
                <c:pt idx="13">
                  <c:v>1.62</c:v>
                </c:pt>
                <c:pt idx="14">
                  <c:v>1.55</c:v>
                </c:pt>
                <c:pt idx="15">
                  <c:v>1.61</c:v>
                </c:pt>
                <c:pt idx="16">
                  <c:v>1.54</c:v>
                </c:pt>
                <c:pt idx="17">
                  <c:v>1.42</c:v>
                </c:pt>
                <c:pt idx="18">
                  <c:v>1.34</c:v>
                </c:pt>
                <c:pt idx="19">
                  <c:v>1.49</c:v>
                </c:pt>
                <c:pt idx="20">
                  <c:v>1.4</c:v>
                </c:pt>
                <c:pt idx="21">
                  <c:v>1.48</c:v>
                </c:pt>
                <c:pt idx="22">
                  <c:v>1.47</c:v>
                </c:pt>
                <c:pt idx="23">
                  <c:v>1.29</c:v>
                </c:pt>
                <c:pt idx="24">
                  <c:v>1.3</c:v>
                </c:pt>
                <c:pt idx="25">
                  <c:v>1.32</c:v>
                </c:pt>
                <c:pt idx="26">
                  <c:v>1.55</c:v>
                </c:pt>
                <c:pt idx="27">
                  <c:v>1.53</c:v>
                </c:pt>
                <c:pt idx="28">
                  <c:v>1.38</c:v>
                </c:pt>
                <c:pt idx="29">
                  <c:v>1.51</c:v>
                </c:pt>
                <c:pt idx="30">
                  <c:v>1.17</c:v>
                </c:pt>
                <c:pt idx="31">
                  <c:v>1.24</c:v>
                </c:pt>
              </c:numCache>
            </c:numRef>
          </c:val>
          <c:smooth val="1"/>
        </c:ser>
        <c:dLbls>
          <c:showLegendKey val="0"/>
          <c:showVal val="0"/>
          <c:showCatName val="0"/>
          <c:showSerName val="0"/>
          <c:showPercent val="0"/>
          <c:showBubbleSize val="0"/>
        </c:dLbls>
        <c:marker val="1"/>
        <c:smooth val="0"/>
        <c:axId val="22164224"/>
        <c:axId val="22166144"/>
      </c:lineChart>
      <c:catAx>
        <c:axId val="22164224"/>
        <c:scaling>
          <c:orientation val="minMax"/>
        </c:scaling>
        <c:delete val="0"/>
        <c:axPos val="b"/>
        <c:title>
          <c:tx>
            <c:rich>
              <a:bodyPr/>
              <a:lstStyle/>
              <a:p>
                <a:pPr>
                  <a:defRPr sz="1199" b="1" i="0" u="none" strike="noStrike" baseline="0">
                    <a:solidFill>
                      <a:srgbClr val="000000"/>
                    </a:solidFill>
                    <a:latin typeface="Arial"/>
                    <a:ea typeface="Arial"/>
                    <a:cs typeface="Arial"/>
                  </a:defRPr>
                </a:pPr>
                <a:r>
                  <a:t>Year</a:t>
                </a:r>
              </a:p>
            </c:rich>
          </c:tx>
          <c:layout>
            <c:manualLayout>
              <c:xMode val="edge"/>
              <c:yMode val="edge"/>
              <c:x val="0.42732049036777581"/>
              <c:y val="0.87179487179487181"/>
            </c:manualLayout>
          </c:layout>
          <c:overlay val="0"/>
          <c:spPr>
            <a:noFill/>
            <a:ln w="25369">
              <a:noFill/>
            </a:ln>
          </c:spPr>
        </c:title>
        <c:numFmt formatCode="General" sourceLinked="1"/>
        <c:majorTickMark val="out"/>
        <c:minorTickMark val="none"/>
        <c:tickLblPos val="nextTo"/>
        <c:spPr>
          <a:ln w="3171">
            <a:solidFill>
              <a:srgbClr val="000000"/>
            </a:solidFill>
            <a:prstDash val="solid"/>
          </a:ln>
        </c:spPr>
        <c:txPr>
          <a:bodyPr rot="0" vert="horz"/>
          <a:lstStyle/>
          <a:p>
            <a:pPr>
              <a:defRPr sz="1199" b="0" i="0" u="none" strike="noStrike" baseline="0">
                <a:solidFill>
                  <a:srgbClr val="000000"/>
                </a:solidFill>
                <a:latin typeface="Arial"/>
                <a:ea typeface="Arial"/>
                <a:cs typeface="Arial"/>
              </a:defRPr>
            </a:pPr>
            <a:endParaRPr lang="en-US"/>
          </a:p>
        </c:txPr>
        <c:crossAx val="22166144"/>
        <c:crosses val="autoZero"/>
        <c:auto val="1"/>
        <c:lblAlgn val="ctr"/>
        <c:lblOffset val="100"/>
        <c:tickLblSkip val="5"/>
        <c:tickMarkSkip val="2"/>
        <c:noMultiLvlLbl val="0"/>
      </c:catAx>
      <c:valAx>
        <c:axId val="22166144"/>
        <c:scaling>
          <c:orientation val="minMax"/>
          <c:max val="2.5"/>
          <c:min val="0.5"/>
        </c:scaling>
        <c:delete val="0"/>
        <c:axPos val="l"/>
        <c:majorGridlines>
          <c:spPr>
            <a:ln w="3171">
              <a:solidFill>
                <a:srgbClr val="000000"/>
              </a:solidFill>
              <a:prstDash val="solid"/>
            </a:ln>
          </c:spPr>
        </c:majorGridlines>
        <c:title>
          <c:tx>
            <c:rich>
              <a:bodyPr/>
              <a:lstStyle/>
              <a:p>
                <a:pPr>
                  <a:defRPr sz="1199" b="1" i="0" u="none" strike="noStrike" baseline="0">
                    <a:solidFill>
                      <a:srgbClr val="000000"/>
                    </a:solidFill>
                    <a:latin typeface="Arial"/>
                    <a:ea typeface="Arial"/>
                    <a:cs typeface="Arial"/>
                  </a:defRPr>
                </a:pPr>
                <a:r>
                  <a:t>Average Oak ring widths (mm)</a:t>
                </a:r>
              </a:p>
            </c:rich>
          </c:tx>
          <c:layout>
            <c:manualLayout>
              <c:xMode val="edge"/>
              <c:yMode val="edge"/>
              <c:x val="7.0052539404553416E-3"/>
              <c:y val="0.2857142857142857"/>
            </c:manualLayout>
          </c:layout>
          <c:overlay val="0"/>
          <c:spPr>
            <a:noFill/>
            <a:ln w="25369">
              <a:noFill/>
            </a:ln>
          </c:spPr>
        </c:title>
        <c:numFmt formatCode="General" sourceLinked="1"/>
        <c:majorTickMark val="out"/>
        <c:minorTickMark val="none"/>
        <c:tickLblPos val="nextTo"/>
        <c:spPr>
          <a:ln w="3171">
            <a:solidFill>
              <a:srgbClr val="000000"/>
            </a:solidFill>
            <a:prstDash val="solid"/>
          </a:ln>
        </c:spPr>
        <c:txPr>
          <a:bodyPr rot="0" vert="horz"/>
          <a:lstStyle/>
          <a:p>
            <a:pPr>
              <a:defRPr sz="1199" b="0" i="0" u="none" strike="noStrike" baseline="0">
                <a:solidFill>
                  <a:srgbClr val="000000"/>
                </a:solidFill>
                <a:latin typeface="Arial"/>
                <a:ea typeface="Arial"/>
                <a:cs typeface="Arial"/>
              </a:defRPr>
            </a:pPr>
            <a:endParaRPr lang="en-US"/>
          </a:p>
        </c:txPr>
        <c:crossAx val="22164224"/>
        <c:crosses val="autoZero"/>
        <c:crossBetween val="between"/>
      </c:valAx>
      <c:spPr>
        <a:solidFill>
          <a:srgbClr val="FFFFFF"/>
        </a:solidFill>
        <a:ln w="12685">
          <a:solidFill>
            <a:srgbClr val="808080"/>
          </a:solidFill>
          <a:prstDash val="solid"/>
        </a:ln>
      </c:spPr>
    </c:plotArea>
    <c:legend>
      <c:legendPos val="r"/>
      <c:layout>
        <c:manualLayout>
          <c:xMode val="edge"/>
          <c:yMode val="edge"/>
          <c:x val="0.78458844133099825"/>
          <c:y val="0.36996336996336998"/>
          <c:w val="0.21015761821366025"/>
          <c:h val="0.26373626373626374"/>
        </c:manualLayout>
      </c:layout>
      <c:overlay val="0"/>
      <c:spPr>
        <a:solidFill>
          <a:srgbClr val="FFFFFF"/>
        </a:solidFill>
        <a:ln w="3171">
          <a:solidFill>
            <a:srgbClr val="000000"/>
          </a:solidFill>
          <a:prstDash val="solid"/>
        </a:ln>
      </c:spPr>
      <c:txPr>
        <a:bodyPr/>
        <a:lstStyle/>
        <a:p>
          <a:pPr>
            <a:defRPr sz="919" b="0" i="0" u="none" strike="noStrike" baseline="0">
              <a:solidFill>
                <a:srgbClr val="000000"/>
              </a:solidFill>
              <a:latin typeface="Arial"/>
              <a:ea typeface="Arial"/>
              <a:cs typeface="Arial"/>
            </a:defRPr>
          </a:pPr>
          <a:endParaRPr lang="en-US"/>
        </a:p>
      </c:txPr>
    </c:legend>
    <c:plotVisOnly val="1"/>
    <c:dispBlanksAs val="gap"/>
    <c:showDLblsOverMax val="0"/>
  </c:chart>
  <c:spPr>
    <a:solidFill>
      <a:srgbClr val="FFFFFF"/>
    </a:solidFill>
    <a:ln w="3171">
      <a:solidFill>
        <a:srgbClr val="000000"/>
      </a:solidFill>
      <a:prstDash val="solid"/>
    </a:ln>
  </c:spPr>
  <c:txPr>
    <a:bodyPr/>
    <a:lstStyle/>
    <a:p>
      <a:pPr>
        <a:defRPr sz="1199" b="0" i="0" u="none" strike="noStrike" baseline="0">
          <a:solidFill>
            <a:srgbClr val="000000"/>
          </a:solidFill>
          <a:latin typeface="Arial"/>
          <a:ea typeface="Arial"/>
          <a:cs typeface="Arial"/>
        </a:defRPr>
      </a:pPr>
      <a:endParaRPr lang="en-U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350" b="1" i="0" u="none" strike="noStrike" baseline="0">
                <a:solidFill>
                  <a:srgbClr val="000000"/>
                </a:solidFill>
                <a:latin typeface="Arial"/>
                <a:ea typeface="Arial"/>
                <a:cs typeface="Arial"/>
              </a:defRPr>
            </a:pPr>
            <a:r>
              <a:t>The annual average Oak ring widths (mm) for Savernake and East Pomerania between 1972 and 1985</a:t>
            </a:r>
          </a:p>
        </c:rich>
      </c:tx>
      <c:layout>
        <c:manualLayout>
          <c:xMode val="edge"/>
          <c:yMode val="edge"/>
          <c:x val="0.10108303249097472"/>
          <c:y val="4.5751633986928102E-2"/>
        </c:manualLayout>
      </c:layout>
      <c:overlay val="0"/>
      <c:spPr>
        <a:noFill/>
        <a:ln w="25399">
          <a:noFill/>
        </a:ln>
      </c:spPr>
    </c:title>
    <c:autoTitleDeleted val="0"/>
    <c:plotArea>
      <c:layout>
        <c:manualLayout>
          <c:layoutTarget val="inner"/>
          <c:xMode val="edge"/>
          <c:yMode val="edge"/>
          <c:x val="0.1407942238267148"/>
          <c:y val="0.39869281045751637"/>
          <c:w val="0.6155234657039711"/>
          <c:h val="0.3562091503267974"/>
        </c:manualLayout>
      </c:layout>
      <c:lineChart>
        <c:grouping val="standard"/>
        <c:varyColors val="0"/>
        <c:ser>
          <c:idx val="0"/>
          <c:order val="0"/>
          <c:tx>
            <c:v>Savernake ring    widths (mm)</c:v>
          </c:tx>
          <c:spPr>
            <a:ln w="25399">
              <a:solidFill>
                <a:srgbClr val="003366"/>
              </a:solidFill>
              <a:prstDash val="solid"/>
            </a:ln>
          </c:spPr>
          <c:marker>
            <c:symbol val="none"/>
          </c:marker>
          <c:cat>
            <c:numRef>
              <c:f>Sheet1!$A$2:$A$15</c:f>
              <c:numCache>
                <c:formatCode>General</c:formatCode>
                <c:ptCount val="14"/>
                <c:pt idx="0">
                  <c:v>1972</c:v>
                </c:pt>
                <c:pt idx="1">
                  <c:v>1973</c:v>
                </c:pt>
                <c:pt idx="2">
                  <c:v>1974</c:v>
                </c:pt>
                <c:pt idx="3">
                  <c:v>1975</c:v>
                </c:pt>
                <c:pt idx="4">
                  <c:v>1976</c:v>
                </c:pt>
                <c:pt idx="5">
                  <c:v>1977</c:v>
                </c:pt>
                <c:pt idx="6">
                  <c:v>1978</c:v>
                </c:pt>
                <c:pt idx="7">
                  <c:v>1979</c:v>
                </c:pt>
                <c:pt idx="8">
                  <c:v>1980</c:v>
                </c:pt>
                <c:pt idx="9">
                  <c:v>1981</c:v>
                </c:pt>
                <c:pt idx="10">
                  <c:v>1982</c:v>
                </c:pt>
                <c:pt idx="11">
                  <c:v>1983</c:v>
                </c:pt>
                <c:pt idx="12">
                  <c:v>1984</c:v>
                </c:pt>
                <c:pt idx="13">
                  <c:v>1985</c:v>
                </c:pt>
              </c:numCache>
            </c:numRef>
          </c:cat>
          <c:val>
            <c:numRef>
              <c:f>Sheet1!$G$2:$G$15</c:f>
              <c:numCache>
                <c:formatCode>General</c:formatCode>
                <c:ptCount val="14"/>
                <c:pt idx="0">
                  <c:v>1.48</c:v>
                </c:pt>
                <c:pt idx="1">
                  <c:v>1.84</c:v>
                </c:pt>
                <c:pt idx="2">
                  <c:v>1.56</c:v>
                </c:pt>
                <c:pt idx="3">
                  <c:v>1.53</c:v>
                </c:pt>
                <c:pt idx="4">
                  <c:v>0.87</c:v>
                </c:pt>
                <c:pt idx="5">
                  <c:v>1.3</c:v>
                </c:pt>
                <c:pt idx="6">
                  <c:v>1.73</c:v>
                </c:pt>
                <c:pt idx="7">
                  <c:v>1.66</c:v>
                </c:pt>
                <c:pt idx="8">
                  <c:v>1.76</c:v>
                </c:pt>
                <c:pt idx="9">
                  <c:v>1.57</c:v>
                </c:pt>
                <c:pt idx="10">
                  <c:v>1.8</c:v>
                </c:pt>
                <c:pt idx="11">
                  <c:v>1.55</c:v>
                </c:pt>
                <c:pt idx="12">
                  <c:v>1.51</c:v>
                </c:pt>
                <c:pt idx="13">
                  <c:v>1.62</c:v>
                </c:pt>
              </c:numCache>
            </c:numRef>
          </c:val>
          <c:smooth val="1"/>
        </c:ser>
        <c:ser>
          <c:idx val="1"/>
          <c:order val="1"/>
          <c:tx>
            <c:v>East Pomerania    ring widths (mm)</c:v>
          </c:tx>
          <c:spPr>
            <a:ln w="25399">
              <a:solidFill>
                <a:srgbClr val="FF00FF"/>
              </a:solidFill>
              <a:prstDash val="solid"/>
            </a:ln>
          </c:spPr>
          <c:marker>
            <c:symbol val="none"/>
          </c:marker>
          <c:cat>
            <c:numRef>
              <c:f>Sheet1!$A$2:$A$15</c:f>
              <c:numCache>
                <c:formatCode>General</c:formatCode>
                <c:ptCount val="14"/>
                <c:pt idx="0">
                  <c:v>1972</c:v>
                </c:pt>
                <c:pt idx="1">
                  <c:v>1973</c:v>
                </c:pt>
                <c:pt idx="2">
                  <c:v>1974</c:v>
                </c:pt>
                <c:pt idx="3">
                  <c:v>1975</c:v>
                </c:pt>
                <c:pt idx="4">
                  <c:v>1976</c:v>
                </c:pt>
                <c:pt idx="5">
                  <c:v>1977</c:v>
                </c:pt>
                <c:pt idx="6">
                  <c:v>1978</c:v>
                </c:pt>
                <c:pt idx="7">
                  <c:v>1979</c:v>
                </c:pt>
                <c:pt idx="8">
                  <c:v>1980</c:v>
                </c:pt>
                <c:pt idx="9">
                  <c:v>1981</c:v>
                </c:pt>
                <c:pt idx="10">
                  <c:v>1982</c:v>
                </c:pt>
                <c:pt idx="11">
                  <c:v>1983</c:v>
                </c:pt>
                <c:pt idx="12">
                  <c:v>1984</c:v>
                </c:pt>
                <c:pt idx="13">
                  <c:v>1985</c:v>
                </c:pt>
              </c:numCache>
            </c:numRef>
          </c:cat>
          <c:val>
            <c:numRef>
              <c:f>Sheet1!$H$2:$H$15</c:f>
              <c:numCache>
                <c:formatCode>General</c:formatCode>
                <c:ptCount val="14"/>
                <c:pt idx="0">
                  <c:v>1.53</c:v>
                </c:pt>
                <c:pt idx="1">
                  <c:v>1.3</c:v>
                </c:pt>
                <c:pt idx="2">
                  <c:v>1.35</c:v>
                </c:pt>
                <c:pt idx="3">
                  <c:v>1.28</c:v>
                </c:pt>
                <c:pt idx="4">
                  <c:v>1.19</c:v>
                </c:pt>
                <c:pt idx="5">
                  <c:v>1.35</c:v>
                </c:pt>
                <c:pt idx="6">
                  <c:v>1.39</c:v>
                </c:pt>
                <c:pt idx="7">
                  <c:v>1.44</c:v>
                </c:pt>
                <c:pt idx="8">
                  <c:v>1.77</c:v>
                </c:pt>
                <c:pt idx="9">
                  <c:v>1.48</c:v>
                </c:pt>
                <c:pt idx="10">
                  <c:v>1.48</c:v>
                </c:pt>
                <c:pt idx="11">
                  <c:v>1.41</c:v>
                </c:pt>
                <c:pt idx="12">
                  <c:v>1.51</c:v>
                </c:pt>
                <c:pt idx="13">
                  <c:v>1.36</c:v>
                </c:pt>
              </c:numCache>
            </c:numRef>
          </c:val>
          <c:smooth val="1"/>
        </c:ser>
        <c:dLbls>
          <c:showLegendKey val="0"/>
          <c:showVal val="0"/>
          <c:showCatName val="0"/>
          <c:showSerName val="0"/>
          <c:showPercent val="0"/>
          <c:showBubbleSize val="0"/>
        </c:dLbls>
        <c:marker val="1"/>
        <c:smooth val="0"/>
        <c:axId val="21866368"/>
        <c:axId val="21868544"/>
      </c:lineChart>
      <c:catAx>
        <c:axId val="21866368"/>
        <c:scaling>
          <c:orientation val="minMax"/>
        </c:scaling>
        <c:delete val="0"/>
        <c:axPos val="b"/>
        <c:title>
          <c:tx>
            <c:rich>
              <a:bodyPr/>
              <a:lstStyle/>
              <a:p>
                <a:pPr>
                  <a:defRPr sz="1050" b="1" i="0" u="none" strike="noStrike" baseline="0">
                    <a:solidFill>
                      <a:srgbClr val="000000"/>
                    </a:solidFill>
                    <a:latin typeface="Arial"/>
                    <a:ea typeface="Arial"/>
                    <a:cs typeface="Arial"/>
                  </a:defRPr>
                </a:pPr>
                <a:r>
                  <a:t>Year</a:t>
                </a:r>
              </a:p>
            </c:rich>
          </c:tx>
          <c:layout>
            <c:manualLayout>
              <c:xMode val="edge"/>
              <c:yMode val="edge"/>
              <c:x val="0.41335740072202165"/>
              <c:y val="0.86928104575163401"/>
            </c:manualLayout>
          </c:layout>
          <c:overlay val="0"/>
          <c:spPr>
            <a:noFill/>
            <a:ln w="25399">
              <a:noFill/>
            </a:ln>
          </c:spPr>
        </c:title>
        <c:numFmt formatCode="General" sourceLinked="1"/>
        <c:majorTickMark val="out"/>
        <c:minorTickMark val="none"/>
        <c:tickLblPos val="nextTo"/>
        <c:spPr>
          <a:ln w="3175">
            <a:solidFill>
              <a:srgbClr val="000000"/>
            </a:solidFill>
            <a:prstDash val="solid"/>
          </a:ln>
        </c:spPr>
        <c:txPr>
          <a:bodyPr rot="0" vert="horz"/>
          <a:lstStyle/>
          <a:p>
            <a:pPr>
              <a:defRPr sz="1200" b="0" i="0" u="none" strike="noStrike" baseline="0">
                <a:solidFill>
                  <a:srgbClr val="000000"/>
                </a:solidFill>
                <a:latin typeface="Arial"/>
                <a:ea typeface="Arial"/>
                <a:cs typeface="Arial"/>
              </a:defRPr>
            </a:pPr>
            <a:endParaRPr lang="en-US"/>
          </a:p>
        </c:txPr>
        <c:crossAx val="21868544"/>
        <c:crosses val="autoZero"/>
        <c:auto val="1"/>
        <c:lblAlgn val="ctr"/>
        <c:lblOffset val="100"/>
        <c:tickLblSkip val="3"/>
        <c:tickMarkSkip val="1"/>
        <c:noMultiLvlLbl val="0"/>
      </c:catAx>
      <c:valAx>
        <c:axId val="21868544"/>
        <c:scaling>
          <c:orientation val="minMax"/>
          <c:max val="2"/>
          <c:min val="0.6"/>
        </c:scaling>
        <c:delete val="0"/>
        <c:axPos val="l"/>
        <c:majorGridlines>
          <c:spPr>
            <a:ln w="3175">
              <a:solidFill>
                <a:srgbClr val="000000"/>
              </a:solidFill>
              <a:prstDash val="solid"/>
            </a:ln>
          </c:spPr>
        </c:majorGridlines>
        <c:title>
          <c:tx>
            <c:rich>
              <a:bodyPr/>
              <a:lstStyle/>
              <a:p>
                <a:pPr>
                  <a:defRPr sz="1050" b="1" i="0" u="none" strike="noStrike" baseline="0">
                    <a:solidFill>
                      <a:srgbClr val="000000"/>
                    </a:solidFill>
                    <a:latin typeface="Arial"/>
                    <a:ea typeface="Arial"/>
                    <a:cs typeface="Arial"/>
                  </a:defRPr>
                </a:pPr>
                <a:r>
                  <a:t>Average Oak ring widths (mm)</a:t>
                </a:r>
              </a:p>
            </c:rich>
          </c:tx>
          <c:layout>
            <c:manualLayout>
              <c:xMode val="edge"/>
              <c:yMode val="edge"/>
              <c:x val="0"/>
              <c:y val="0.36601307189542481"/>
            </c:manualLayout>
          </c:layout>
          <c:overlay val="0"/>
          <c:spPr>
            <a:noFill/>
            <a:ln w="25399">
              <a:noFill/>
            </a:ln>
          </c:spPr>
        </c:title>
        <c:numFmt formatCode="General" sourceLinked="1"/>
        <c:majorTickMark val="out"/>
        <c:minorTickMark val="none"/>
        <c:tickLblPos val="nextTo"/>
        <c:spPr>
          <a:ln w="3175">
            <a:solidFill>
              <a:srgbClr val="000000"/>
            </a:solidFill>
            <a:prstDash val="solid"/>
          </a:ln>
        </c:spPr>
        <c:txPr>
          <a:bodyPr rot="0" vert="horz"/>
          <a:lstStyle/>
          <a:p>
            <a:pPr>
              <a:defRPr sz="1200" b="0" i="0" u="none" strike="noStrike" baseline="0">
                <a:solidFill>
                  <a:srgbClr val="000000"/>
                </a:solidFill>
                <a:latin typeface="Arial"/>
                <a:ea typeface="Arial"/>
                <a:cs typeface="Arial"/>
              </a:defRPr>
            </a:pPr>
            <a:endParaRPr lang="en-US"/>
          </a:p>
        </c:txPr>
        <c:crossAx val="21866368"/>
        <c:crosses val="autoZero"/>
        <c:crossBetween val="between"/>
        <c:majorUnit val="0.3"/>
      </c:valAx>
      <c:spPr>
        <a:solidFill>
          <a:srgbClr val="FFFFFF"/>
        </a:solidFill>
        <a:ln w="12700">
          <a:solidFill>
            <a:srgbClr val="808080"/>
          </a:solidFill>
          <a:prstDash val="solid"/>
        </a:ln>
      </c:spPr>
    </c:plotArea>
    <c:legend>
      <c:legendPos val="r"/>
      <c:layout>
        <c:manualLayout>
          <c:xMode val="edge"/>
          <c:yMode val="edge"/>
          <c:x val="0.75992779783393505"/>
          <c:y val="0.45098039215686275"/>
          <c:w val="0.23285198555956679"/>
          <c:h val="0.22222222222222221"/>
        </c:manualLayout>
      </c:layout>
      <c:overlay val="0"/>
      <c:spPr>
        <a:solidFill>
          <a:srgbClr val="FFFFFF"/>
        </a:solidFill>
        <a:ln w="3175">
          <a:solidFill>
            <a:srgbClr val="000000"/>
          </a:solidFill>
          <a:prstDash val="solid"/>
        </a:ln>
      </c:spPr>
      <c:txPr>
        <a:bodyPr/>
        <a:lstStyle/>
        <a:p>
          <a:pPr>
            <a:defRPr sz="825" b="0" i="0" u="none" strike="noStrike" baseline="0">
              <a:solidFill>
                <a:srgbClr val="000000"/>
              </a:solidFill>
              <a:latin typeface="Arial"/>
              <a:ea typeface="Arial"/>
              <a:cs typeface="Arial"/>
            </a:defRPr>
          </a:pPr>
          <a:endParaRPr lang="en-US"/>
        </a:p>
      </c:txPr>
    </c:legend>
    <c:plotVisOnly val="1"/>
    <c:dispBlanksAs val="gap"/>
    <c:showDLblsOverMax val="0"/>
  </c:chart>
  <c:spPr>
    <a:solidFill>
      <a:srgbClr val="FFFFFF"/>
    </a:solidFill>
    <a:ln w="3175">
      <a:solidFill>
        <a:srgbClr val="000000"/>
      </a:solidFill>
      <a:prstDash val="solid"/>
    </a:ln>
  </c:spPr>
  <c:txPr>
    <a:bodyPr/>
    <a:lstStyle/>
    <a:p>
      <a:pPr>
        <a:defRPr sz="1500" b="0" i="0" u="none" strike="noStrike" baseline="0">
          <a:solidFill>
            <a:srgbClr val="000000"/>
          </a:solidFill>
          <a:latin typeface="Arial"/>
          <a:ea typeface="Arial"/>
          <a:cs typeface="Arial"/>
        </a:defRPr>
      </a:pPr>
      <a:endParaRPr lang="en-US"/>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99" b="1" i="0" u="none" strike="noStrike" baseline="0">
                <a:solidFill>
                  <a:srgbClr val="000000"/>
                </a:solidFill>
                <a:latin typeface="Arial"/>
                <a:ea typeface="Arial"/>
                <a:cs typeface="Arial"/>
              </a:defRPr>
            </a:pPr>
            <a:r>
              <a:t>The annual precipitation (mm) Vs temperature averages between 1972 and 2012 </a:t>
            </a:r>
          </a:p>
        </c:rich>
      </c:tx>
      <c:layout>
        <c:manualLayout>
          <c:xMode val="edge"/>
          <c:yMode val="edge"/>
          <c:x val="0.12367496659266476"/>
          <c:y val="2.0771635627457829E-2"/>
        </c:manualLayout>
      </c:layout>
      <c:overlay val="0"/>
      <c:spPr>
        <a:noFill/>
        <a:ln w="25373">
          <a:noFill/>
        </a:ln>
      </c:spPr>
    </c:title>
    <c:autoTitleDeleted val="0"/>
    <c:plotArea>
      <c:layout>
        <c:manualLayout>
          <c:layoutTarget val="inner"/>
          <c:xMode val="edge"/>
          <c:yMode val="edge"/>
          <c:x val="0.12014134275618374"/>
          <c:y val="0.22492401215805471"/>
          <c:w val="0.5848056537102474"/>
          <c:h val="0.59270516717325228"/>
        </c:manualLayout>
      </c:layout>
      <c:barChart>
        <c:barDir val="col"/>
        <c:grouping val="clustered"/>
        <c:varyColors val="0"/>
        <c:ser>
          <c:idx val="1"/>
          <c:order val="0"/>
          <c:tx>
            <c:v>Precipitation (mm)</c:v>
          </c:tx>
          <c:spPr>
            <a:solidFill>
              <a:srgbClr val="3366FF"/>
            </a:solidFill>
            <a:ln w="12687">
              <a:solidFill>
                <a:srgbClr val="3366FF"/>
              </a:solidFill>
              <a:prstDash val="solid"/>
            </a:ln>
          </c:spPr>
          <c:invertIfNegative val="0"/>
          <c:cat>
            <c:numRef>
              <c:f>Sheet1!$A$1:$A$41</c:f>
              <c:numCache>
                <c:formatCode>General</c:formatCode>
                <c:ptCount val="41"/>
                <c:pt idx="0">
                  <c:v>1972</c:v>
                </c:pt>
                <c:pt idx="1">
                  <c:v>1973</c:v>
                </c:pt>
                <c:pt idx="2">
                  <c:v>1974</c:v>
                </c:pt>
                <c:pt idx="3">
                  <c:v>1975</c:v>
                </c:pt>
                <c:pt idx="4">
                  <c:v>1976</c:v>
                </c:pt>
                <c:pt idx="5">
                  <c:v>1977</c:v>
                </c:pt>
                <c:pt idx="6">
                  <c:v>1978</c:v>
                </c:pt>
                <c:pt idx="7">
                  <c:v>1979</c:v>
                </c:pt>
                <c:pt idx="8">
                  <c:v>1980</c:v>
                </c:pt>
                <c:pt idx="9">
                  <c:v>1981</c:v>
                </c:pt>
                <c:pt idx="10">
                  <c:v>1982</c:v>
                </c:pt>
                <c:pt idx="11">
                  <c:v>1983</c:v>
                </c:pt>
                <c:pt idx="12">
                  <c:v>1984</c:v>
                </c:pt>
                <c:pt idx="13">
                  <c:v>1985</c:v>
                </c:pt>
                <c:pt idx="14">
                  <c:v>1986</c:v>
                </c:pt>
                <c:pt idx="15">
                  <c:v>1987</c:v>
                </c:pt>
                <c:pt idx="16">
                  <c:v>1988</c:v>
                </c:pt>
                <c:pt idx="17">
                  <c:v>1989</c:v>
                </c:pt>
                <c:pt idx="18">
                  <c:v>1990</c:v>
                </c:pt>
                <c:pt idx="19">
                  <c:v>1991</c:v>
                </c:pt>
                <c:pt idx="20">
                  <c:v>1992</c:v>
                </c:pt>
                <c:pt idx="21">
                  <c:v>1993</c:v>
                </c:pt>
                <c:pt idx="22">
                  <c:v>1994</c:v>
                </c:pt>
                <c:pt idx="23">
                  <c:v>1995</c:v>
                </c:pt>
                <c:pt idx="24">
                  <c:v>1996</c:v>
                </c:pt>
                <c:pt idx="25">
                  <c:v>1997</c:v>
                </c:pt>
                <c:pt idx="26">
                  <c:v>1998</c:v>
                </c:pt>
                <c:pt idx="27">
                  <c:v>1999</c:v>
                </c:pt>
                <c:pt idx="28">
                  <c:v>2000</c:v>
                </c:pt>
                <c:pt idx="29">
                  <c:v>2001</c:v>
                </c:pt>
                <c:pt idx="30">
                  <c:v>2002</c:v>
                </c:pt>
                <c:pt idx="31">
                  <c:v>2003</c:v>
                </c:pt>
                <c:pt idx="32">
                  <c:v>2004</c:v>
                </c:pt>
                <c:pt idx="33">
                  <c:v>2005</c:v>
                </c:pt>
                <c:pt idx="34">
                  <c:v>2006</c:v>
                </c:pt>
                <c:pt idx="35">
                  <c:v>2007</c:v>
                </c:pt>
                <c:pt idx="36">
                  <c:v>2008</c:v>
                </c:pt>
                <c:pt idx="37">
                  <c:v>2009</c:v>
                </c:pt>
                <c:pt idx="38">
                  <c:v>2010</c:v>
                </c:pt>
                <c:pt idx="39">
                  <c:v>2011</c:v>
                </c:pt>
                <c:pt idx="40">
                  <c:v>2012</c:v>
                </c:pt>
              </c:numCache>
            </c:numRef>
          </c:cat>
          <c:val>
            <c:numRef>
              <c:f>Sheet1!$B$1:$B$41</c:f>
              <c:numCache>
                <c:formatCode>General</c:formatCode>
                <c:ptCount val="41"/>
                <c:pt idx="0">
                  <c:v>1142.5999999999999</c:v>
                </c:pt>
                <c:pt idx="1">
                  <c:v>1108.7</c:v>
                </c:pt>
                <c:pt idx="2">
                  <c:v>1376.3</c:v>
                </c:pt>
                <c:pt idx="3">
                  <c:v>953.62</c:v>
                </c:pt>
                <c:pt idx="4">
                  <c:v>995.1</c:v>
                </c:pt>
                <c:pt idx="5">
                  <c:v>1263.8</c:v>
                </c:pt>
                <c:pt idx="6">
                  <c:v>1173.82</c:v>
                </c:pt>
                <c:pt idx="7">
                  <c:v>1316.5</c:v>
                </c:pt>
                <c:pt idx="8">
                  <c:v>1478.5</c:v>
                </c:pt>
                <c:pt idx="9">
                  <c:v>1578.4</c:v>
                </c:pt>
                <c:pt idx="10">
                  <c:v>1281.7</c:v>
                </c:pt>
                <c:pt idx="11">
                  <c:v>1168.9000000000001</c:v>
                </c:pt>
                <c:pt idx="12">
                  <c:v>1183</c:v>
                </c:pt>
                <c:pt idx="13">
                  <c:v>1097.9000000000001</c:v>
                </c:pt>
                <c:pt idx="14">
                  <c:v>1399.9</c:v>
                </c:pt>
                <c:pt idx="15">
                  <c:v>1179.4000000000001</c:v>
                </c:pt>
                <c:pt idx="16">
                  <c:v>1339.67</c:v>
                </c:pt>
                <c:pt idx="17">
                  <c:v>1043.56</c:v>
                </c:pt>
                <c:pt idx="18">
                  <c:v>1188.54</c:v>
                </c:pt>
                <c:pt idx="19">
                  <c:v>1126.8</c:v>
                </c:pt>
                <c:pt idx="20">
                  <c:v>1332.4</c:v>
                </c:pt>
                <c:pt idx="21">
                  <c:v>1156</c:v>
                </c:pt>
                <c:pt idx="22">
                  <c:v>1278.3499999999999</c:v>
                </c:pt>
                <c:pt idx="23">
                  <c:v>926.86</c:v>
                </c:pt>
                <c:pt idx="24">
                  <c:v>959.5</c:v>
                </c:pt>
                <c:pt idx="25">
                  <c:v>1105.5</c:v>
                </c:pt>
                <c:pt idx="26">
                  <c:v>1395.34</c:v>
                </c:pt>
                <c:pt idx="27">
                  <c:v>1304.2</c:v>
                </c:pt>
                <c:pt idx="28">
                  <c:v>1633.7</c:v>
                </c:pt>
                <c:pt idx="29">
                  <c:v>1282.4000000000001</c:v>
                </c:pt>
                <c:pt idx="30">
                  <c:v>1524.4</c:v>
                </c:pt>
                <c:pt idx="31">
                  <c:v>1021.8</c:v>
                </c:pt>
                <c:pt idx="32">
                  <c:v>1408.8</c:v>
                </c:pt>
                <c:pt idx="33">
                  <c:v>1111.9000000000001</c:v>
                </c:pt>
                <c:pt idx="34">
                  <c:v>1188.94</c:v>
                </c:pt>
                <c:pt idx="35">
                  <c:v>1573.61</c:v>
                </c:pt>
                <c:pt idx="36">
                  <c:v>1513.99</c:v>
                </c:pt>
                <c:pt idx="37">
                  <c:v>1295.53</c:v>
                </c:pt>
                <c:pt idx="38">
                  <c:v>985.66</c:v>
                </c:pt>
                <c:pt idx="39">
                  <c:v>1287.77</c:v>
                </c:pt>
                <c:pt idx="40">
                  <c:v>1656.33</c:v>
                </c:pt>
              </c:numCache>
            </c:numRef>
          </c:val>
        </c:ser>
        <c:dLbls>
          <c:showLegendKey val="0"/>
          <c:showVal val="0"/>
          <c:showCatName val="0"/>
          <c:showSerName val="0"/>
          <c:showPercent val="0"/>
          <c:showBubbleSize val="0"/>
        </c:dLbls>
        <c:gapWidth val="150"/>
        <c:axId val="154668416"/>
        <c:axId val="156104192"/>
      </c:barChart>
      <c:lineChart>
        <c:grouping val="standard"/>
        <c:varyColors val="0"/>
        <c:ser>
          <c:idx val="0"/>
          <c:order val="1"/>
          <c:tx>
            <c:v>Temperature (ºC)</c:v>
          </c:tx>
          <c:spPr>
            <a:ln w="25373">
              <a:solidFill>
                <a:srgbClr val="FF0000"/>
              </a:solidFill>
              <a:prstDash val="solid"/>
            </a:ln>
          </c:spPr>
          <c:marker>
            <c:symbol val="none"/>
          </c:marker>
          <c:val>
            <c:numRef>
              <c:f>Sheet1!$D$1:$D$41</c:f>
              <c:numCache>
                <c:formatCode>General</c:formatCode>
                <c:ptCount val="41"/>
                <c:pt idx="0">
                  <c:v>11.6</c:v>
                </c:pt>
                <c:pt idx="1">
                  <c:v>12</c:v>
                </c:pt>
                <c:pt idx="2">
                  <c:v>11.9</c:v>
                </c:pt>
                <c:pt idx="3">
                  <c:v>12.5</c:v>
                </c:pt>
                <c:pt idx="4">
                  <c:v>12.2</c:v>
                </c:pt>
                <c:pt idx="5">
                  <c:v>11.7</c:v>
                </c:pt>
                <c:pt idx="6">
                  <c:v>11.6</c:v>
                </c:pt>
                <c:pt idx="7">
                  <c:v>10.9</c:v>
                </c:pt>
                <c:pt idx="8">
                  <c:v>11.6</c:v>
                </c:pt>
                <c:pt idx="9">
                  <c:v>11.6</c:v>
                </c:pt>
                <c:pt idx="10">
                  <c:v>12.4</c:v>
                </c:pt>
                <c:pt idx="11">
                  <c:v>12.3</c:v>
                </c:pt>
                <c:pt idx="12">
                  <c:v>12.4</c:v>
                </c:pt>
                <c:pt idx="13">
                  <c:v>11.1</c:v>
                </c:pt>
                <c:pt idx="14">
                  <c:v>11.1</c:v>
                </c:pt>
                <c:pt idx="15">
                  <c:v>11.3</c:v>
                </c:pt>
                <c:pt idx="16">
                  <c:v>12.2</c:v>
                </c:pt>
                <c:pt idx="17">
                  <c:v>13</c:v>
                </c:pt>
                <c:pt idx="18">
                  <c:v>13</c:v>
                </c:pt>
                <c:pt idx="19">
                  <c:v>12.2</c:v>
                </c:pt>
                <c:pt idx="20">
                  <c:v>12.5</c:v>
                </c:pt>
                <c:pt idx="21">
                  <c:v>11.8</c:v>
                </c:pt>
                <c:pt idx="22">
                  <c:v>12</c:v>
                </c:pt>
                <c:pt idx="23">
                  <c:v>12.9</c:v>
                </c:pt>
                <c:pt idx="24">
                  <c:v>11.5</c:v>
                </c:pt>
                <c:pt idx="25">
                  <c:v>12.9</c:v>
                </c:pt>
                <c:pt idx="26">
                  <c:v>12.4</c:v>
                </c:pt>
                <c:pt idx="27">
                  <c:v>12.7</c:v>
                </c:pt>
                <c:pt idx="28">
                  <c:v>12.5</c:v>
                </c:pt>
                <c:pt idx="29">
                  <c:v>12.4</c:v>
                </c:pt>
                <c:pt idx="30">
                  <c:v>12.8</c:v>
                </c:pt>
                <c:pt idx="31">
                  <c:v>13.4</c:v>
                </c:pt>
                <c:pt idx="32">
                  <c:v>12.9</c:v>
                </c:pt>
                <c:pt idx="33">
                  <c:v>12.7</c:v>
                </c:pt>
                <c:pt idx="34">
                  <c:v>13</c:v>
                </c:pt>
                <c:pt idx="35">
                  <c:v>13.3</c:v>
                </c:pt>
                <c:pt idx="36">
                  <c:v>12.6</c:v>
                </c:pt>
                <c:pt idx="37">
                  <c:v>12.5</c:v>
                </c:pt>
                <c:pt idx="38">
                  <c:v>11.5</c:v>
                </c:pt>
                <c:pt idx="39">
                  <c:v>12.9</c:v>
                </c:pt>
                <c:pt idx="40">
                  <c:v>12</c:v>
                </c:pt>
              </c:numCache>
            </c:numRef>
          </c:val>
          <c:smooth val="0"/>
        </c:ser>
        <c:dLbls>
          <c:showLegendKey val="0"/>
          <c:showVal val="0"/>
          <c:showCatName val="0"/>
          <c:showSerName val="0"/>
          <c:showPercent val="0"/>
          <c:showBubbleSize val="0"/>
        </c:dLbls>
        <c:marker val="1"/>
        <c:smooth val="0"/>
        <c:axId val="189434496"/>
        <c:axId val="189469440"/>
      </c:lineChart>
      <c:catAx>
        <c:axId val="154668416"/>
        <c:scaling>
          <c:orientation val="minMax"/>
        </c:scaling>
        <c:delete val="0"/>
        <c:axPos val="b"/>
        <c:title>
          <c:tx>
            <c:rich>
              <a:bodyPr/>
              <a:lstStyle/>
              <a:p>
                <a:pPr>
                  <a:defRPr sz="1099" b="1" i="0" u="none" strike="noStrike" baseline="0">
                    <a:solidFill>
                      <a:srgbClr val="000000"/>
                    </a:solidFill>
                    <a:latin typeface="Arial"/>
                    <a:ea typeface="Arial"/>
                    <a:cs typeface="Arial"/>
                  </a:defRPr>
                </a:pPr>
                <a:r>
                  <a:t>Year</a:t>
                </a:r>
              </a:p>
            </c:rich>
          </c:tx>
          <c:layout>
            <c:manualLayout>
              <c:xMode val="edge"/>
              <c:yMode val="edge"/>
              <c:x val="0.38162537999180118"/>
              <c:y val="0.89910976145046717"/>
            </c:manualLayout>
          </c:layout>
          <c:overlay val="0"/>
          <c:spPr>
            <a:noFill/>
            <a:ln w="25373">
              <a:noFill/>
            </a:ln>
          </c:spPr>
        </c:title>
        <c:numFmt formatCode="General" sourceLinked="1"/>
        <c:majorTickMark val="cross"/>
        <c:minorTickMark val="none"/>
        <c:tickLblPos val="nextTo"/>
        <c:spPr>
          <a:ln w="3172">
            <a:solidFill>
              <a:srgbClr val="000000"/>
            </a:solidFill>
            <a:prstDash val="solid"/>
          </a:ln>
        </c:spPr>
        <c:txPr>
          <a:bodyPr rot="0" vert="horz"/>
          <a:lstStyle/>
          <a:p>
            <a:pPr>
              <a:defRPr sz="999" b="0" i="0" u="none" strike="noStrike" baseline="0">
                <a:solidFill>
                  <a:srgbClr val="000000"/>
                </a:solidFill>
                <a:latin typeface="Arial"/>
                <a:ea typeface="Arial"/>
                <a:cs typeface="Arial"/>
              </a:defRPr>
            </a:pPr>
            <a:endParaRPr lang="en-US"/>
          </a:p>
        </c:txPr>
        <c:crossAx val="156104192"/>
        <c:crosses val="autoZero"/>
        <c:auto val="0"/>
        <c:lblAlgn val="ctr"/>
        <c:lblOffset val="100"/>
        <c:tickLblSkip val="5"/>
        <c:tickMarkSkip val="1"/>
        <c:noMultiLvlLbl val="0"/>
      </c:catAx>
      <c:valAx>
        <c:axId val="156104192"/>
        <c:scaling>
          <c:orientation val="minMax"/>
        </c:scaling>
        <c:delete val="0"/>
        <c:axPos val="l"/>
        <c:title>
          <c:tx>
            <c:rich>
              <a:bodyPr/>
              <a:lstStyle/>
              <a:p>
                <a:pPr>
                  <a:defRPr sz="1099" b="1" i="0" u="none" strike="noStrike" baseline="0">
                    <a:solidFill>
                      <a:srgbClr val="000000"/>
                    </a:solidFill>
                    <a:latin typeface="Arial"/>
                    <a:ea typeface="Arial"/>
                    <a:cs typeface="Arial"/>
                  </a:defRPr>
                </a:pPr>
                <a:r>
                  <a:t>Precipitation (mm)</a:t>
                </a:r>
              </a:p>
            </c:rich>
          </c:tx>
          <c:layout>
            <c:manualLayout>
              <c:xMode val="edge"/>
              <c:yMode val="edge"/>
              <c:x val="0"/>
              <c:y val="0.35866261398176291"/>
            </c:manualLayout>
          </c:layout>
          <c:overlay val="0"/>
          <c:spPr>
            <a:noFill/>
            <a:ln w="25373">
              <a:noFill/>
            </a:ln>
          </c:spPr>
        </c:title>
        <c:numFmt formatCode="General" sourceLinked="1"/>
        <c:majorTickMark val="cross"/>
        <c:minorTickMark val="none"/>
        <c:tickLblPos val="nextTo"/>
        <c:spPr>
          <a:ln w="3172">
            <a:solidFill>
              <a:srgbClr val="000000"/>
            </a:solidFill>
            <a:prstDash val="solid"/>
          </a:ln>
        </c:spPr>
        <c:txPr>
          <a:bodyPr rot="0" vert="horz"/>
          <a:lstStyle/>
          <a:p>
            <a:pPr>
              <a:defRPr sz="999" b="0" i="0" u="none" strike="noStrike" baseline="0">
                <a:solidFill>
                  <a:srgbClr val="000000"/>
                </a:solidFill>
                <a:latin typeface="Arial"/>
                <a:ea typeface="Arial"/>
                <a:cs typeface="Arial"/>
              </a:defRPr>
            </a:pPr>
            <a:endParaRPr lang="en-US"/>
          </a:p>
        </c:txPr>
        <c:crossAx val="154668416"/>
        <c:crosses val="autoZero"/>
        <c:crossBetween val="between"/>
      </c:valAx>
      <c:catAx>
        <c:axId val="189434496"/>
        <c:scaling>
          <c:orientation val="minMax"/>
        </c:scaling>
        <c:delete val="1"/>
        <c:axPos val="b"/>
        <c:majorTickMark val="out"/>
        <c:minorTickMark val="none"/>
        <c:tickLblPos val="nextTo"/>
        <c:crossAx val="189469440"/>
        <c:crosses val="autoZero"/>
        <c:auto val="0"/>
        <c:lblAlgn val="ctr"/>
        <c:lblOffset val="100"/>
        <c:noMultiLvlLbl val="0"/>
      </c:catAx>
      <c:valAx>
        <c:axId val="189469440"/>
        <c:scaling>
          <c:orientation val="minMax"/>
        </c:scaling>
        <c:delete val="0"/>
        <c:axPos val="r"/>
        <c:title>
          <c:tx>
            <c:rich>
              <a:bodyPr/>
              <a:lstStyle/>
              <a:p>
                <a:pPr>
                  <a:defRPr sz="1099" b="1" i="0" u="none" strike="noStrike" baseline="0">
                    <a:solidFill>
                      <a:srgbClr val="000000"/>
                    </a:solidFill>
                    <a:latin typeface="Arial"/>
                    <a:ea typeface="Arial"/>
                    <a:cs typeface="Arial"/>
                  </a:defRPr>
                </a:pPr>
                <a:r>
                  <a:t>Temperature (ºC)</a:t>
                </a:r>
              </a:p>
            </c:rich>
          </c:tx>
          <c:layout>
            <c:manualLayout>
              <c:xMode val="edge"/>
              <c:yMode val="edge"/>
              <c:x val="0.73498224486645058"/>
              <c:y val="0.36201768294321574"/>
            </c:manualLayout>
          </c:layout>
          <c:overlay val="0"/>
          <c:spPr>
            <a:noFill/>
            <a:ln w="25373">
              <a:noFill/>
            </a:ln>
          </c:spPr>
        </c:title>
        <c:numFmt formatCode="General" sourceLinked="1"/>
        <c:majorTickMark val="cross"/>
        <c:minorTickMark val="none"/>
        <c:tickLblPos val="nextTo"/>
        <c:spPr>
          <a:ln w="3172">
            <a:solidFill>
              <a:srgbClr val="000000"/>
            </a:solidFill>
            <a:prstDash val="solid"/>
          </a:ln>
        </c:spPr>
        <c:txPr>
          <a:bodyPr rot="0" vert="horz"/>
          <a:lstStyle/>
          <a:p>
            <a:pPr>
              <a:defRPr sz="999" b="0" i="0" u="none" strike="noStrike" baseline="0">
                <a:solidFill>
                  <a:srgbClr val="000000"/>
                </a:solidFill>
                <a:latin typeface="Arial"/>
                <a:ea typeface="Arial"/>
                <a:cs typeface="Arial"/>
              </a:defRPr>
            </a:pPr>
            <a:endParaRPr lang="en-US"/>
          </a:p>
        </c:txPr>
        <c:crossAx val="189434496"/>
        <c:crosses val="max"/>
        <c:crossBetween val="between"/>
      </c:valAx>
      <c:spPr>
        <a:solidFill>
          <a:srgbClr val="FFFFFF"/>
        </a:solidFill>
        <a:ln w="12687">
          <a:solidFill>
            <a:srgbClr val="808080"/>
          </a:solidFill>
          <a:prstDash val="solid"/>
        </a:ln>
      </c:spPr>
    </c:plotArea>
    <c:legend>
      <c:legendPos val="r"/>
      <c:layout>
        <c:manualLayout>
          <c:xMode val="edge"/>
          <c:yMode val="edge"/>
          <c:x val="0.79151943462897523"/>
          <c:y val="0.47112462006079026"/>
          <c:w val="0.20318021201413428"/>
          <c:h val="0.20060790273556231"/>
        </c:manualLayout>
      </c:layout>
      <c:overlay val="0"/>
      <c:spPr>
        <a:solidFill>
          <a:srgbClr val="FFFFFF"/>
        </a:solidFill>
        <a:ln w="3172">
          <a:solidFill>
            <a:srgbClr val="000000"/>
          </a:solidFill>
          <a:prstDash val="solid"/>
        </a:ln>
      </c:spPr>
      <c:txPr>
        <a:bodyPr/>
        <a:lstStyle/>
        <a:p>
          <a:pPr>
            <a:defRPr sz="919" b="0" i="0" u="none" strike="noStrike" baseline="0">
              <a:solidFill>
                <a:srgbClr val="000000"/>
              </a:solidFill>
              <a:latin typeface="Arial"/>
              <a:ea typeface="Arial"/>
              <a:cs typeface="Arial"/>
            </a:defRPr>
          </a:pPr>
          <a:endParaRPr lang="en-US"/>
        </a:p>
      </c:txPr>
    </c:legend>
    <c:plotVisOnly val="1"/>
    <c:dispBlanksAs val="gap"/>
    <c:showDLblsOverMax val="0"/>
  </c:chart>
  <c:spPr>
    <a:solidFill>
      <a:srgbClr val="FFFFFF"/>
    </a:solidFill>
    <a:ln w="3172">
      <a:solidFill>
        <a:srgbClr val="000000"/>
      </a:solidFill>
      <a:prstDash val="solid"/>
    </a:ln>
  </c:spPr>
  <c:txPr>
    <a:bodyPr/>
    <a:lstStyle/>
    <a:p>
      <a:pPr>
        <a:defRPr sz="999" b="0" i="0" u="none" strike="noStrike" baseline="0">
          <a:solidFill>
            <a:srgbClr val="000000"/>
          </a:solidFill>
          <a:latin typeface="Arial"/>
          <a:ea typeface="Arial"/>
          <a:cs typeface="Arial"/>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75" b="1" i="0" u="none" strike="noStrike" baseline="0">
                <a:solidFill>
                  <a:srgbClr val="000000"/>
                </a:solidFill>
                <a:latin typeface="Arial"/>
                <a:ea typeface="Arial"/>
                <a:cs typeface="Arial"/>
              </a:defRPr>
            </a:pPr>
            <a:r>
              <a:t>Average Beech ring widths (mm)</a:t>
            </a:r>
          </a:p>
        </c:rich>
      </c:tx>
      <c:layout>
        <c:manualLayout>
          <c:xMode val="edge"/>
          <c:yMode val="edge"/>
          <c:x val="0.23498233215547704"/>
          <c:y val="3.5856573705179286E-2"/>
        </c:manualLayout>
      </c:layout>
      <c:overlay val="0"/>
      <c:spPr>
        <a:noFill/>
        <a:ln w="25400">
          <a:noFill/>
        </a:ln>
      </c:spPr>
    </c:title>
    <c:autoTitleDeleted val="0"/>
    <c:plotArea>
      <c:layout>
        <c:manualLayout>
          <c:layoutTarget val="inner"/>
          <c:xMode val="edge"/>
          <c:yMode val="edge"/>
          <c:x val="0.16254416961130741"/>
          <c:y val="0.26294820717131473"/>
          <c:w val="0.79505300353356889"/>
          <c:h val="0.4541832669322709"/>
        </c:manualLayout>
      </c:layout>
      <c:scatterChart>
        <c:scatterStyle val="smoothMarker"/>
        <c:varyColors val="0"/>
        <c:ser>
          <c:idx val="0"/>
          <c:order val="0"/>
          <c:spPr>
            <a:ln w="38100">
              <a:solidFill>
                <a:srgbClr val="00CCFF"/>
              </a:solidFill>
              <a:prstDash val="solid"/>
            </a:ln>
          </c:spPr>
          <c:marker>
            <c:symbol val="square"/>
            <c:size val="8"/>
            <c:spPr>
              <a:noFill/>
              <a:ln w="9525">
                <a:noFill/>
              </a:ln>
            </c:spPr>
          </c:marker>
          <c:xVal>
            <c:numRef>
              <c:f>Sheet1!$A$1:$A$41</c:f>
              <c:numCache>
                <c:formatCode>General</c:formatCode>
                <c:ptCount val="41"/>
                <c:pt idx="0">
                  <c:v>2012</c:v>
                </c:pt>
                <c:pt idx="1">
                  <c:v>2011</c:v>
                </c:pt>
                <c:pt idx="2">
                  <c:v>2010</c:v>
                </c:pt>
                <c:pt idx="3">
                  <c:v>2009</c:v>
                </c:pt>
                <c:pt idx="4">
                  <c:v>2008</c:v>
                </c:pt>
                <c:pt idx="5">
                  <c:v>2007</c:v>
                </c:pt>
                <c:pt idx="6">
                  <c:v>2006</c:v>
                </c:pt>
                <c:pt idx="7">
                  <c:v>2005</c:v>
                </c:pt>
                <c:pt idx="8">
                  <c:v>2004</c:v>
                </c:pt>
                <c:pt idx="9">
                  <c:v>2003</c:v>
                </c:pt>
                <c:pt idx="10">
                  <c:v>2002</c:v>
                </c:pt>
                <c:pt idx="11">
                  <c:v>2001</c:v>
                </c:pt>
                <c:pt idx="12">
                  <c:v>2000</c:v>
                </c:pt>
                <c:pt idx="13">
                  <c:v>1999</c:v>
                </c:pt>
                <c:pt idx="14">
                  <c:v>1998</c:v>
                </c:pt>
                <c:pt idx="15">
                  <c:v>1997</c:v>
                </c:pt>
                <c:pt idx="16">
                  <c:v>1996</c:v>
                </c:pt>
                <c:pt idx="17">
                  <c:v>1995</c:v>
                </c:pt>
                <c:pt idx="18">
                  <c:v>1994</c:v>
                </c:pt>
                <c:pt idx="19">
                  <c:v>1993</c:v>
                </c:pt>
                <c:pt idx="20">
                  <c:v>1992</c:v>
                </c:pt>
                <c:pt idx="21">
                  <c:v>1991</c:v>
                </c:pt>
                <c:pt idx="22">
                  <c:v>1990</c:v>
                </c:pt>
                <c:pt idx="23">
                  <c:v>1989</c:v>
                </c:pt>
                <c:pt idx="24">
                  <c:v>1988</c:v>
                </c:pt>
                <c:pt idx="25">
                  <c:v>1987</c:v>
                </c:pt>
                <c:pt idx="26">
                  <c:v>1986</c:v>
                </c:pt>
                <c:pt idx="27">
                  <c:v>1985</c:v>
                </c:pt>
                <c:pt idx="28">
                  <c:v>1984</c:v>
                </c:pt>
                <c:pt idx="29">
                  <c:v>1983</c:v>
                </c:pt>
                <c:pt idx="30">
                  <c:v>1982</c:v>
                </c:pt>
                <c:pt idx="31">
                  <c:v>1981</c:v>
                </c:pt>
                <c:pt idx="32">
                  <c:v>1980</c:v>
                </c:pt>
                <c:pt idx="33">
                  <c:v>1979</c:v>
                </c:pt>
                <c:pt idx="34">
                  <c:v>1978</c:v>
                </c:pt>
                <c:pt idx="35">
                  <c:v>1977</c:v>
                </c:pt>
                <c:pt idx="36">
                  <c:v>1976</c:v>
                </c:pt>
                <c:pt idx="37">
                  <c:v>1975</c:v>
                </c:pt>
                <c:pt idx="38">
                  <c:v>1974</c:v>
                </c:pt>
                <c:pt idx="39">
                  <c:v>1973</c:v>
                </c:pt>
                <c:pt idx="40">
                  <c:v>1972</c:v>
                </c:pt>
              </c:numCache>
            </c:numRef>
          </c:xVal>
          <c:yVal>
            <c:numRef>
              <c:f>Sheet1!$B$1:$B$41</c:f>
              <c:numCache>
                <c:formatCode>General</c:formatCode>
                <c:ptCount val="41"/>
                <c:pt idx="0">
                  <c:v>1.94</c:v>
                </c:pt>
                <c:pt idx="1">
                  <c:v>1.99</c:v>
                </c:pt>
                <c:pt idx="2">
                  <c:v>2.04</c:v>
                </c:pt>
                <c:pt idx="3">
                  <c:v>2.08</c:v>
                </c:pt>
                <c:pt idx="4">
                  <c:v>2.06</c:v>
                </c:pt>
                <c:pt idx="5">
                  <c:v>2.0699999999999998</c:v>
                </c:pt>
                <c:pt idx="6">
                  <c:v>2.11</c:v>
                </c:pt>
                <c:pt idx="7">
                  <c:v>2.13</c:v>
                </c:pt>
                <c:pt idx="8">
                  <c:v>2.2799999999999998</c:v>
                </c:pt>
                <c:pt idx="9">
                  <c:v>2.11</c:v>
                </c:pt>
                <c:pt idx="10">
                  <c:v>2.1800000000000002</c:v>
                </c:pt>
                <c:pt idx="11">
                  <c:v>2.19</c:v>
                </c:pt>
                <c:pt idx="12">
                  <c:v>2.06</c:v>
                </c:pt>
                <c:pt idx="13">
                  <c:v>2.1</c:v>
                </c:pt>
                <c:pt idx="14">
                  <c:v>2.1</c:v>
                </c:pt>
                <c:pt idx="15">
                  <c:v>2.08</c:v>
                </c:pt>
                <c:pt idx="16">
                  <c:v>2.06</c:v>
                </c:pt>
                <c:pt idx="17">
                  <c:v>2.0499999999999998</c:v>
                </c:pt>
                <c:pt idx="18">
                  <c:v>2.06</c:v>
                </c:pt>
                <c:pt idx="19">
                  <c:v>2.0499999999999998</c:v>
                </c:pt>
                <c:pt idx="20">
                  <c:v>2.09</c:v>
                </c:pt>
                <c:pt idx="21">
                  <c:v>2.15</c:v>
                </c:pt>
                <c:pt idx="22">
                  <c:v>2.11</c:v>
                </c:pt>
                <c:pt idx="23">
                  <c:v>2.04</c:v>
                </c:pt>
                <c:pt idx="24">
                  <c:v>2.0299999999999998</c:v>
                </c:pt>
                <c:pt idx="25">
                  <c:v>2.08</c:v>
                </c:pt>
                <c:pt idx="26">
                  <c:v>2.17</c:v>
                </c:pt>
                <c:pt idx="27">
                  <c:v>2.15</c:v>
                </c:pt>
                <c:pt idx="28">
                  <c:v>1.97</c:v>
                </c:pt>
                <c:pt idx="29">
                  <c:v>2.09</c:v>
                </c:pt>
                <c:pt idx="30">
                  <c:v>2.08</c:v>
                </c:pt>
                <c:pt idx="31">
                  <c:v>1.95</c:v>
                </c:pt>
                <c:pt idx="32">
                  <c:v>2.14</c:v>
                </c:pt>
                <c:pt idx="33">
                  <c:v>2.12</c:v>
                </c:pt>
                <c:pt idx="34">
                  <c:v>2.2200000000000002</c:v>
                </c:pt>
                <c:pt idx="35">
                  <c:v>2.16</c:v>
                </c:pt>
                <c:pt idx="36">
                  <c:v>2.0699999999999998</c:v>
                </c:pt>
                <c:pt idx="37">
                  <c:v>2.2200000000000002</c:v>
                </c:pt>
                <c:pt idx="38">
                  <c:v>2.1800000000000002</c:v>
                </c:pt>
                <c:pt idx="39">
                  <c:v>2.39</c:v>
                </c:pt>
                <c:pt idx="40">
                  <c:v>2.0499999999999998</c:v>
                </c:pt>
              </c:numCache>
            </c:numRef>
          </c:yVal>
          <c:smooth val="1"/>
        </c:ser>
        <c:dLbls>
          <c:showLegendKey val="0"/>
          <c:showVal val="0"/>
          <c:showCatName val="0"/>
          <c:showSerName val="0"/>
          <c:showPercent val="0"/>
          <c:showBubbleSize val="0"/>
        </c:dLbls>
        <c:axId val="124972416"/>
        <c:axId val="125016704"/>
      </c:scatterChart>
      <c:valAx>
        <c:axId val="124972416"/>
        <c:scaling>
          <c:orientation val="minMax"/>
          <c:max val="2012"/>
          <c:min val="1972"/>
        </c:scaling>
        <c:delete val="0"/>
        <c:axPos val="b"/>
        <c:title>
          <c:tx>
            <c:rich>
              <a:bodyPr/>
              <a:lstStyle/>
              <a:p>
                <a:pPr>
                  <a:defRPr sz="1200" b="1" i="0" u="none" strike="noStrike" baseline="0">
                    <a:solidFill>
                      <a:srgbClr val="000000"/>
                    </a:solidFill>
                    <a:latin typeface="Arial"/>
                    <a:ea typeface="Arial"/>
                    <a:cs typeface="Arial"/>
                  </a:defRPr>
                </a:pPr>
                <a:r>
                  <a:t>Year</a:t>
                </a:r>
              </a:p>
            </c:rich>
          </c:tx>
          <c:layout>
            <c:manualLayout>
              <c:xMode val="edge"/>
              <c:yMode val="edge"/>
              <c:x val="0.52473498233215543"/>
              <c:y val="0.85657370517928288"/>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1200" b="0" i="0" u="none" strike="noStrike" baseline="0">
                <a:solidFill>
                  <a:srgbClr val="000000"/>
                </a:solidFill>
                <a:latin typeface="Arial"/>
                <a:ea typeface="Arial"/>
                <a:cs typeface="Arial"/>
              </a:defRPr>
            </a:pPr>
            <a:endParaRPr lang="en-US"/>
          </a:p>
        </c:txPr>
        <c:crossAx val="125016704"/>
        <c:crosses val="autoZero"/>
        <c:crossBetween val="midCat"/>
        <c:majorUnit val="5"/>
      </c:valAx>
      <c:valAx>
        <c:axId val="125016704"/>
        <c:scaling>
          <c:orientation val="minMax"/>
          <c:max val="2.5"/>
          <c:min val="1.9"/>
        </c:scaling>
        <c:delete val="0"/>
        <c:axPos val="l"/>
        <c:majorGridlines>
          <c:spPr>
            <a:ln w="3175">
              <a:solidFill>
                <a:srgbClr val="000000"/>
              </a:solidFill>
              <a:prstDash val="solid"/>
            </a:ln>
          </c:spPr>
        </c:majorGridlines>
        <c:title>
          <c:tx>
            <c:rich>
              <a:bodyPr/>
              <a:lstStyle/>
              <a:p>
                <a:pPr>
                  <a:defRPr sz="1200" b="1" i="0" u="none" strike="noStrike" baseline="0">
                    <a:solidFill>
                      <a:srgbClr val="000000"/>
                    </a:solidFill>
                    <a:latin typeface="Arial"/>
                    <a:ea typeface="Arial"/>
                    <a:cs typeface="Arial"/>
                  </a:defRPr>
                </a:pPr>
                <a:r>
                  <a:t>Beech ring widths (mm)</a:t>
                </a:r>
              </a:p>
            </c:rich>
          </c:tx>
          <c:layout>
            <c:manualLayout>
              <c:xMode val="edge"/>
              <c:yMode val="edge"/>
              <c:x val="0"/>
              <c:y val="0.19521912350597609"/>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1200" b="0" i="0" u="none" strike="noStrike" baseline="0">
                <a:solidFill>
                  <a:srgbClr val="000000"/>
                </a:solidFill>
                <a:latin typeface="Arial"/>
                <a:ea typeface="Arial"/>
                <a:cs typeface="Arial"/>
              </a:defRPr>
            </a:pPr>
            <a:endParaRPr lang="en-US"/>
          </a:p>
        </c:txPr>
        <c:crossAx val="124972416"/>
        <c:crosses val="autoZero"/>
        <c:crossBetween val="midCat"/>
        <c:majorUnit val="0.1"/>
      </c:valAx>
      <c:spPr>
        <a:solidFill>
          <a:srgbClr val="FFFFFF"/>
        </a:solid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1200" b="0" i="0" u="none" strike="noStrike" baseline="0">
          <a:solidFill>
            <a:srgbClr val="000000"/>
          </a:solidFill>
          <a:latin typeface="Arial"/>
          <a:ea typeface="Arial"/>
          <a:cs typeface="Arial"/>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50" b="1" i="0" u="none" strike="noStrike" baseline="0">
                <a:solidFill>
                  <a:srgbClr val="000000"/>
                </a:solidFill>
                <a:latin typeface="Arial"/>
                <a:ea typeface="Arial"/>
                <a:cs typeface="Arial"/>
              </a:defRPr>
            </a:pPr>
            <a:r>
              <a:t>Average Oak ring widths (mm)</a:t>
            </a:r>
          </a:p>
        </c:rich>
      </c:tx>
      <c:layout>
        <c:manualLayout>
          <c:xMode val="edge"/>
          <c:yMode val="edge"/>
          <c:x val="0.22084805653710246"/>
          <c:y val="2.1505376344086023E-2"/>
        </c:manualLayout>
      </c:layout>
      <c:overlay val="0"/>
      <c:spPr>
        <a:noFill/>
        <a:ln w="25400">
          <a:noFill/>
        </a:ln>
      </c:spPr>
    </c:title>
    <c:autoTitleDeleted val="0"/>
    <c:plotArea>
      <c:layout>
        <c:manualLayout>
          <c:layoutTarget val="inner"/>
          <c:xMode val="edge"/>
          <c:yMode val="edge"/>
          <c:x val="0.13074204946996468"/>
          <c:y val="0.26164874551971329"/>
          <c:w val="0.83392226148409898"/>
          <c:h val="0.48745519713261648"/>
        </c:manualLayout>
      </c:layout>
      <c:scatterChart>
        <c:scatterStyle val="smoothMarker"/>
        <c:varyColors val="0"/>
        <c:ser>
          <c:idx val="0"/>
          <c:order val="0"/>
          <c:spPr>
            <a:ln w="38100">
              <a:solidFill>
                <a:srgbClr val="800080"/>
              </a:solidFill>
              <a:prstDash val="solid"/>
            </a:ln>
          </c:spPr>
          <c:marker>
            <c:symbol val="square"/>
            <c:size val="8"/>
            <c:spPr>
              <a:noFill/>
              <a:ln w="9525">
                <a:noFill/>
              </a:ln>
            </c:spPr>
          </c:marker>
          <c:xVal>
            <c:numRef>
              <c:f>Sheet1!$A$1:$A$41</c:f>
              <c:numCache>
                <c:formatCode>General</c:formatCode>
                <c:ptCount val="41"/>
                <c:pt idx="0">
                  <c:v>2012</c:v>
                </c:pt>
                <c:pt idx="1">
                  <c:v>2011</c:v>
                </c:pt>
                <c:pt idx="2">
                  <c:v>2010</c:v>
                </c:pt>
                <c:pt idx="3">
                  <c:v>2009</c:v>
                </c:pt>
                <c:pt idx="4">
                  <c:v>2008</c:v>
                </c:pt>
                <c:pt idx="5">
                  <c:v>2007</c:v>
                </c:pt>
                <c:pt idx="6">
                  <c:v>2006</c:v>
                </c:pt>
                <c:pt idx="7">
                  <c:v>2005</c:v>
                </c:pt>
                <c:pt idx="8">
                  <c:v>2004</c:v>
                </c:pt>
                <c:pt idx="9">
                  <c:v>2003</c:v>
                </c:pt>
                <c:pt idx="10">
                  <c:v>2002</c:v>
                </c:pt>
                <c:pt idx="11">
                  <c:v>2001</c:v>
                </c:pt>
                <c:pt idx="12">
                  <c:v>2000</c:v>
                </c:pt>
                <c:pt idx="13">
                  <c:v>1999</c:v>
                </c:pt>
                <c:pt idx="14">
                  <c:v>1998</c:v>
                </c:pt>
                <c:pt idx="15">
                  <c:v>1997</c:v>
                </c:pt>
                <c:pt idx="16">
                  <c:v>1996</c:v>
                </c:pt>
                <c:pt idx="17">
                  <c:v>1995</c:v>
                </c:pt>
                <c:pt idx="18">
                  <c:v>1994</c:v>
                </c:pt>
                <c:pt idx="19">
                  <c:v>1993</c:v>
                </c:pt>
                <c:pt idx="20">
                  <c:v>1992</c:v>
                </c:pt>
                <c:pt idx="21">
                  <c:v>1991</c:v>
                </c:pt>
                <c:pt idx="22">
                  <c:v>1990</c:v>
                </c:pt>
                <c:pt idx="23">
                  <c:v>1989</c:v>
                </c:pt>
                <c:pt idx="24">
                  <c:v>1988</c:v>
                </c:pt>
                <c:pt idx="25">
                  <c:v>1987</c:v>
                </c:pt>
                <c:pt idx="26">
                  <c:v>1986</c:v>
                </c:pt>
                <c:pt idx="27">
                  <c:v>1985</c:v>
                </c:pt>
                <c:pt idx="28">
                  <c:v>1984</c:v>
                </c:pt>
                <c:pt idx="29">
                  <c:v>1983</c:v>
                </c:pt>
                <c:pt idx="30">
                  <c:v>1982</c:v>
                </c:pt>
                <c:pt idx="31">
                  <c:v>1981</c:v>
                </c:pt>
                <c:pt idx="32">
                  <c:v>1980</c:v>
                </c:pt>
                <c:pt idx="33">
                  <c:v>1979</c:v>
                </c:pt>
                <c:pt idx="34">
                  <c:v>1978</c:v>
                </c:pt>
                <c:pt idx="35">
                  <c:v>1977</c:v>
                </c:pt>
                <c:pt idx="36">
                  <c:v>1976</c:v>
                </c:pt>
                <c:pt idx="37">
                  <c:v>1975</c:v>
                </c:pt>
                <c:pt idx="38">
                  <c:v>1974</c:v>
                </c:pt>
                <c:pt idx="39">
                  <c:v>1973</c:v>
                </c:pt>
                <c:pt idx="40">
                  <c:v>1972</c:v>
                </c:pt>
              </c:numCache>
            </c:numRef>
          </c:xVal>
          <c:yVal>
            <c:numRef>
              <c:f>Sheet1!$B$1:$B$41</c:f>
              <c:numCache>
                <c:formatCode>General</c:formatCode>
                <c:ptCount val="41"/>
                <c:pt idx="0">
                  <c:v>1.59</c:v>
                </c:pt>
                <c:pt idx="1">
                  <c:v>1.67</c:v>
                </c:pt>
                <c:pt idx="2">
                  <c:v>1.63</c:v>
                </c:pt>
                <c:pt idx="3">
                  <c:v>1.59</c:v>
                </c:pt>
                <c:pt idx="4">
                  <c:v>1.62</c:v>
                </c:pt>
                <c:pt idx="5">
                  <c:v>1.52</c:v>
                </c:pt>
                <c:pt idx="6">
                  <c:v>1.54</c:v>
                </c:pt>
                <c:pt idx="7">
                  <c:v>1.47</c:v>
                </c:pt>
                <c:pt idx="8">
                  <c:v>1.57</c:v>
                </c:pt>
                <c:pt idx="9">
                  <c:v>1.56</c:v>
                </c:pt>
                <c:pt idx="10">
                  <c:v>1.64</c:v>
                </c:pt>
                <c:pt idx="11">
                  <c:v>1.69</c:v>
                </c:pt>
                <c:pt idx="12">
                  <c:v>1.55</c:v>
                </c:pt>
                <c:pt idx="13">
                  <c:v>1.55</c:v>
                </c:pt>
                <c:pt idx="14">
                  <c:v>1.58</c:v>
                </c:pt>
                <c:pt idx="15">
                  <c:v>1.63</c:v>
                </c:pt>
                <c:pt idx="16">
                  <c:v>1.64</c:v>
                </c:pt>
                <c:pt idx="17">
                  <c:v>1.59</c:v>
                </c:pt>
                <c:pt idx="18">
                  <c:v>1.57</c:v>
                </c:pt>
                <c:pt idx="19">
                  <c:v>1.6</c:v>
                </c:pt>
                <c:pt idx="20">
                  <c:v>1.6</c:v>
                </c:pt>
                <c:pt idx="21">
                  <c:v>1.62</c:v>
                </c:pt>
                <c:pt idx="22">
                  <c:v>1.63</c:v>
                </c:pt>
                <c:pt idx="23">
                  <c:v>1.64</c:v>
                </c:pt>
                <c:pt idx="24">
                  <c:v>1.59</c:v>
                </c:pt>
                <c:pt idx="25">
                  <c:v>1.65</c:v>
                </c:pt>
                <c:pt idx="26">
                  <c:v>1.64</c:v>
                </c:pt>
                <c:pt idx="27">
                  <c:v>1.64</c:v>
                </c:pt>
                <c:pt idx="28">
                  <c:v>1.77</c:v>
                </c:pt>
                <c:pt idx="29">
                  <c:v>1.83</c:v>
                </c:pt>
                <c:pt idx="30">
                  <c:v>1.67</c:v>
                </c:pt>
                <c:pt idx="31">
                  <c:v>1.59</c:v>
                </c:pt>
                <c:pt idx="32">
                  <c:v>1.71</c:v>
                </c:pt>
                <c:pt idx="33">
                  <c:v>1.74</c:v>
                </c:pt>
                <c:pt idx="34">
                  <c:v>1.8</c:v>
                </c:pt>
                <c:pt idx="35">
                  <c:v>1.69</c:v>
                </c:pt>
                <c:pt idx="36">
                  <c:v>1.81</c:v>
                </c:pt>
                <c:pt idx="37">
                  <c:v>1.76</c:v>
                </c:pt>
                <c:pt idx="38">
                  <c:v>1.78</c:v>
                </c:pt>
                <c:pt idx="39">
                  <c:v>1.85</c:v>
                </c:pt>
                <c:pt idx="40">
                  <c:v>1.84</c:v>
                </c:pt>
              </c:numCache>
            </c:numRef>
          </c:yVal>
          <c:smooth val="1"/>
        </c:ser>
        <c:dLbls>
          <c:showLegendKey val="0"/>
          <c:showVal val="0"/>
          <c:showCatName val="0"/>
          <c:showSerName val="0"/>
          <c:showPercent val="0"/>
          <c:showBubbleSize val="0"/>
        </c:dLbls>
        <c:axId val="121934976"/>
        <c:axId val="122585472"/>
      </c:scatterChart>
      <c:valAx>
        <c:axId val="121934976"/>
        <c:scaling>
          <c:orientation val="minMax"/>
          <c:max val="2012"/>
          <c:min val="1972"/>
        </c:scaling>
        <c:delete val="0"/>
        <c:axPos val="b"/>
        <c:title>
          <c:tx>
            <c:rich>
              <a:bodyPr/>
              <a:lstStyle/>
              <a:p>
                <a:pPr>
                  <a:defRPr sz="1200" b="1" i="0" u="none" strike="noStrike" baseline="0">
                    <a:solidFill>
                      <a:srgbClr val="000000"/>
                    </a:solidFill>
                    <a:latin typeface="Arial"/>
                    <a:ea typeface="Arial"/>
                    <a:cs typeface="Arial"/>
                  </a:defRPr>
                </a:pPr>
                <a:r>
                  <a:t>Year</a:t>
                </a:r>
              </a:p>
            </c:rich>
          </c:tx>
          <c:layout>
            <c:manualLayout>
              <c:xMode val="edge"/>
              <c:yMode val="edge"/>
              <c:x val="0.51060070671378088"/>
              <c:y val="0.87455197132616491"/>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1200" b="0" i="0" u="none" strike="noStrike" baseline="0">
                <a:solidFill>
                  <a:srgbClr val="000000"/>
                </a:solidFill>
                <a:latin typeface="Arial"/>
                <a:ea typeface="Arial"/>
                <a:cs typeface="Arial"/>
              </a:defRPr>
            </a:pPr>
            <a:endParaRPr lang="en-US"/>
          </a:p>
        </c:txPr>
        <c:crossAx val="122585472"/>
        <c:crosses val="autoZero"/>
        <c:crossBetween val="midCat"/>
        <c:majorUnit val="5"/>
      </c:valAx>
      <c:valAx>
        <c:axId val="122585472"/>
        <c:scaling>
          <c:orientation val="minMax"/>
          <c:max val="2"/>
          <c:min val="1.4"/>
        </c:scaling>
        <c:delete val="0"/>
        <c:axPos val="l"/>
        <c:majorGridlines>
          <c:spPr>
            <a:ln w="3175">
              <a:solidFill>
                <a:srgbClr val="000000"/>
              </a:solidFill>
              <a:prstDash val="solid"/>
            </a:ln>
          </c:spPr>
        </c:majorGridlines>
        <c:title>
          <c:tx>
            <c:rich>
              <a:bodyPr/>
              <a:lstStyle/>
              <a:p>
                <a:pPr>
                  <a:defRPr sz="1200" b="1" i="0" u="none" strike="noStrike" baseline="0">
                    <a:solidFill>
                      <a:srgbClr val="000000"/>
                    </a:solidFill>
                    <a:latin typeface="Arial"/>
                    <a:ea typeface="Arial"/>
                    <a:cs typeface="Arial"/>
                  </a:defRPr>
                </a:pPr>
                <a:r>
                  <a:t>Oak ring widths (mm)</a:t>
                </a:r>
              </a:p>
            </c:rich>
          </c:tx>
          <c:layout>
            <c:manualLayout>
              <c:xMode val="edge"/>
              <c:yMode val="edge"/>
              <c:x val="1.0600706713780919E-2"/>
              <c:y val="0.20430107526881722"/>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1200" b="0" i="0" u="none" strike="noStrike" baseline="0">
                <a:solidFill>
                  <a:srgbClr val="000000"/>
                </a:solidFill>
                <a:latin typeface="Arial"/>
                <a:ea typeface="Arial"/>
                <a:cs typeface="Arial"/>
              </a:defRPr>
            </a:pPr>
            <a:endParaRPr lang="en-US"/>
          </a:p>
        </c:txPr>
        <c:crossAx val="121934976"/>
        <c:crosses val="autoZero"/>
        <c:crossBetween val="midCat"/>
      </c:valAx>
      <c:spPr>
        <a:solidFill>
          <a:srgbClr val="FFFFFF"/>
        </a:solid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1200" b="0" i="0" u="none" strike="noStrike" baseline="0">
          <a:solidFill>
            <a:srgbClr val="000000"/>
          </a:solidFill>
          <a:latin typeface="Arial"/>
          <a:ea typeface="Arial"/>
          <a:cs typeface="Arial"/>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575" b="1" i="0" u="none" strike="noStrike" baseline="0">
                <a:solidFill>
                  <a:srgbClr val="000000"/>
                </a:solidFill>
                <a:latin typeface="Arial"/>
                <a:ea typeface="Arial"/>
                <a:cs typeface="Arial"/>
              </a:defRPr>
            </a:pPr>
            <a:r>
              <a:t>Average ring widths (mm) for Sycamore, Beech and Oak</a:t>
            </a:r>
          </a:p>
        </c:rich>
      </c:tx>
      <c:layout>
        <c:manualLayout>
          <c:xMode val="edge"/>
          <c:yMode val="edge"/>
          <c:x val="8.4805653710247356E-2"/>
          <c:y val="2.4691358024691357E-2"/>
        </c:manualLayout>
      </c:layout>
      <c:overlay val="0"/>
      <c:spPr>
        <a:noFill/>
        <a:ln w="25400">
          <a:noFill/>
        </a:ln>
      </c:spPr>
    </c:title>
    <c:autoTitleDeleted val="0"/>
    <c:plotArea>
      <c:layout>
        <c:manualLayout>
          <c:layoutTarget val="inner"/>
          <c:xMode val="edge"/>
          <c:yMode val="edge"/>
          <c:x val="0.1872791519434629"/>
          <c:y val="0.3991769547325103"/>
          <c:w val="0.77738515901060068"/>
          <c:h val="0.29629629629629628"/>
        </c:manualLayout>
      </c:layout>
      <c:scatterChart>
        <c:scatterStyle val="smoothMarker"/>
        <c:varyColors val="0"/>
        <c:ser>
          <c:idx val="0"/>
          <c:order val="0"/>
          <c:tx>
            <c:v>Sycamore</c:v>
          </c:tx>
          <c:spPr>
            <a:ln w="25400">
              <a:solidFill>
                <a:srgbClr val="FF6600"/>
              </a:solidFill>
              <a:prstDash val="solid"/>
            </a:ln>
          </c:spPr>
          <c:marker>
            <c:symbol val="square"/>
            <c:size val="8"/>
            <c:spPr>
              <a:noFill/>
              <a:ln w="9525">
                <a:noFill/>
              </a:ln>
            </c:spPr>
          </c:marker>
          <c:xVal>
            <c:numRef>
              <c:f>Sheet1!$A$1:$A$41</c:f>
              <c:numCache>
                <c:formatCode>General</c:formatCode>
                <c:ptCount val="41"/>
                <c:pt idx="0">
                  <c:v>2012</c:v>
                </c:pt>
                <c:pt idx="1">
                  <c:v>2011</c:v>
                </c:pt>
                <c:pt idx="2">
                  <c:v>2010</c:v>
                </c:pt>
                <c:pt idx="3">
                  <c:v>2009</c:v>
                </c:pt>
                <c:pt idx="4">
                  <c:v>2008</c:v>
                </c:pt>
                <c:pt idx="5">
                  <c:v>2007</c:v>
                </c:pt>
                <c:pt idx="6">
                  <c:v>2006</c:v>
                </c:pt>
                <c:pt idx="7">
                  <c:v>2005</c:v>
                </c:pt>
                <c:pt idx="8">
                  <c:v>2004</c:v>
                </c:pt>
                <c:pt idx="9">
                  <c:v>2003</c:v>
                </c:pt>
                <c:pt idx="10">
                  <c:v>2002</c:v>
                </c:pt>
                <c:pt idx="11">
                  <c:v>2001</c:v>
                </c:pt>
                <c:pt idx="12">
                  <c:v>2000</c:v>
                </c:pt>
                <c:pt idx="13">
                  <c:v>1999</c:v>
                </c:pt>
                <c:pt idx="14">
                  <c:v>1998</c:v>
                </c:pt>
                <c:pt idx="15">
                  <c:v>1997</c:v>
                </c:pt>
                <c:pt idx="16">
                  <c:v>1996</c:v>
                </c:pt>
                <c:pt idx="17">
                  <c:v>1995</c:v>
                </c:pt>
                <c:pt idx="18">
                  <c:v>1994</c:v>
                </c:pt>
                <c:pt idx="19">
                  <c:v>1993</c:v>
                </c:pt>
                <c:pt idx="20">
                  <c:v>1992</c:v>
                </c:pt>
                <c:pt idx="21">
                  <c:v>1991</c:v>
                </c:pt>
                <c:pt idx="22">
                  <c:v>1990</c:v>
                </c:pt>
                <c:pt idx="23">
                  <c:v>1989</c:v>
                </c:pt>
                <c:pt idx="24">
                  <c:v>1988</c:v>
                </c:pt>
                <c:pt idx="25">
                  <c:v>1987</c:v>
                </c:pt>
                <c:pt idx="26">
                  <c:v>1986</c:v>
                </c:pt>
                <c:pt idx="27">
                  <c:v>1985</c:v>
                </c:pt>
                <c:pt idx="28">
                  <c:v>1984</c:v>
                </c:pt>
                <c:pt idx="29">
                  <c:v>1983</c:v>
                </c:pt>
                <c:pt idx="30">
                  <c:v>1982</c:v>
                </c:pt>
                <c:pt idx="31">
                  <c:v>1981</c:v>
                </c:pt>
                <c:pt idx="32">
                  <c:v>1980</c:v>
                </c:pt>
                <c:pt idx="33">
                  <c:v>1979</c:v>
                </c:pt>
                <c:pt idx="34">
                  <c:v>1978</c:v>
                </c:pt>
                <c:pt idx="35">
                  <c:v>1977</c:v>
                </c:pt>
                <c:pt idx="36">
                  <c:v>1976</c:v>
                </c:pt>
                <c:pt idx="37">
                  <c:v>1975</c:v>
                </c:pt>
                <c:pt idx="38">
                  <c:v>1974</c:v>
                </c:pt>
                <c:pt idx="39">
                  <c:v>1973</c:v>
                </c:pt>
                <c:pt idx="40">
                  <c:v>1972</c:v>
                </c:pt>
              </c:numCache>
            </c:numRef>
          </c:xVal>
          <c:yVal>
            <c:numRef>
              <c:f>Sheet1!$B$1:$B$41</c:f>
              <c:numCache>
                <c:formatCode>General</c:formatCode>
                <c:ptCount val="41"/>
                <c:pt idx="0">
                  <c:v>1.71</c:v>
                </c:pt>
                <c:pt idx="1">
                  <c:v>1.79</c:v>
                </c:pt>
                <c:pt idx="2">
                  <c:v>1.87</c:v>
                </c:pt>
                <c:pt idx="3">
                  <c:v>1.83</c:v>
                </c:pt>
                <c:pt idx="4">
                  <c:v>1.76</c:v>
                </c:pt>
                <c:pt idx="5">
                  <c:v>1.66</c:v>
                </c:pt>
                <c:pt idx="6">
                  <c:v>1.8</c:v>
                </c:pt>
                <c:pt idx="7">
                  <c:v>1.73</c:v>
                </c:pt>
                <c:pt idx="8">
                  <c:v>1.72</c:v>
                </c:pt>
                <c:pt idx="9">
                  <c:v>1.71</c:v>
                </c:pt>
                <c:pt idx="10">
                  <c:v>1.81</c:v>
                </c:pt>
                <c:pt idx="11">
                  <c:v>1.72</c:v>
                </c:pt>
                <c:pt idx="12">
                  <c:v>1.66</c:v>
                </c:pt>
                <c:pt idx="13">
                  <c:v>1.76</c:v>
                </c:pt>
                <c:pt idx="14">
                  <c:v>1.69</c:v>
                </c:pt>
                <c:pt idx="15">
                  <c:v>1.69</c:v>
                </c:pt>
                <c:pt idx="16">
                  <c:v>1.63</c:v>
                </c:pt>
                <c:pt idx="17">
                  <c:v>1.66</c:v>
                </c:pt>
                <c:pt idx="18">
                  <c:v>1.68</c:v>
                </c:pt>
                <c:pt idx="19">
                  <c:v>1.53</c:v>
                </c:pt>
                <c:pt idx="20">
                  <c:v>1.54</c:v>
                </c:pt>
                <c:pt idx="21">
                  <c:v>1.61</c:v>
                </c:pt>
                <c:pt idx="22">
                  <c:v>1.62</c:v>
                </c:pt>
                <c:pt idx="23">
                  <c:v>1.61</c:v>
                </c:pt>
                <c:pt idx="24">
                  <c:v>1.61</c:v>
                </c:pt>
                <c:pt idx="25">
                  <c:v>1.63</c:v>
                </c:pt>
                <c:pt idx="26">
                  <c:v>1.67</c:v>
                </c:pt>
                <c:pt idx="27">
                  <c:v>1.66</c:v>
                </c:pt>
                <c:pt idx="28">
                  <c:v>1.6</c:v>
                </c:pt>
                <c:pt idx="29">
                  <c:v>1.72</c:v>
                </c:pt>
                <c:pt idx="30">
                  <c:v>1.64</c:v>
                </c:pt>
                <c:pt idx="31">
                  <c:v>1.58</c:v>
                </c:pt>
                <c:pt idx="32">
                  <c:v>1.67</c:v>
                </c:pt>
                <c:pt idx="33">
                  <c:v>1.77</c:v>
                </c:pt>
                <c:pt idx="34">
                  <c:v>1.68</c:v>
                </c:pt>
                <c:pt idx="35">
                  <c:v>1.67</c:v>
                </c:pt>
                <c:pt idx="36">
                  <c:v>1.66</c:v>
                </c:pt>
                <c:pt idx="37">
                  <c:v>1.64</c:v>
                </c:pt>
                <c:pt idx="38">
                  <c:v>1.63</c:v>
                </c:pt>
                <c:pt idx="39">
                  <c:v>1.75</c:v>
                </c:pt>
                <c:pt idx="40">
                  <c:v>1.64</c:v>
                </c:pt>
              </c:numCache>
            </c:numRef>
          </c:yVal>
          <c:smooth val="1"/>
        </c:ser>
        <c:ser>
          <c:idx val="1"/>
          <c:order val="1"/>
          <c:tx>
            <c:v>Beech</c:v>
          </c:tx>
          <c:spPr>
            <a:ln w="25400">
              <a:solidFill>
                <a:srgbClr val="00CCFF"/>
              </a:solidFill>
              <a:prstDash val="solid"/>
            </a:ln>
          </c:spPr>
          <c:marker>
            <c:symbol val="square"/>
            <c:size val="8"/>
            <c:spPr>
              <a:noFill/>
              <a:ln w="9525">
                <a:noFill/>
              </a:ln>
            </c:spPr>
          </c:marker>
          <c:xVal>
            <c:numRef>
              <c:f>Sheet1!$A$1:$A$41</c:f>
              <c:numCache>
                <c:formatCode>General</c:formatCode>
                <c:ptCount val="41"/>
                <c:pt idx="0">
                  <c:v>2012</c:v>
                </c:pt>
                <c:pt idx="1">
                  <c:v>2011</c:v>
                </c:pt>
                <c:pt idx="2">
                  <c:v>2010</c:v>
                </c:pt>
                <c:pt idx="3">
                  <c:v>2009</c:v>
                </c:pt>
                <c:pt idx="4">
                  <c:v>2008</c:v>
                </c:pt>
                <c:pt idx="5">
                  <c:v>2007</c:v>
                </c:pt>
                <c:pt idx="6">
                  <c:v>2006</c:v>
                </c:pt>
                <c:pt idx="7">
                  <c:v>2005</c:v>
                </c:pt>
                <c:pt idx="8">
                  <c:v>2004</c:v>
                </c:pt>
                <c:pt idx="9">
                  <c:v>2003</c:v>
                </c:pt>
                <c:pt idx="10">
                  <c:v>2002</c:v>
                </c:pt>
                <c:pt idx="11">
                  <c:v>2001</c:v>
                </c:pt>
                <c:pt idx="12">
                  <c:v>2000</c:v>
                </c:pt>
                <c:pt idx="13">
                  <c:v>1999</c:v>
                </c:pt>
                <c:pt idx="14">
                  <c:v>1998</c:v>
                </c:pt>
                <c:pt idx="15">
                  <c:v>1997</c:v>
                </c:pt>
                <c:pt idx="16">
                  <c:v>1996</c:v>
                </c:pt>
                <c:pt idx="17">
                  <c:v>1995</c:v>
                </c:pt>
                <c:pt idx="18">
                  <c:v>1994</c:v>
                </c:pt>
                <c:pt idx="19">
                  <c:v>1993</c:v>
                </c:pt>
                <c:pt idx="20">
                  <c:v>1992</c:v>
                </c:pt>
                <c:pt idx="21">
                  <c:v>1991</c:v>
                </c:pt>
                <c:pt idx="22">
                  <c:v>1990</c:v>
                </c:pt>
                <c:pt idx="23">
                  <c:v>1989</c:v>
                </c:pt>
                <c:pt idx="24">
                  <c:v>1988</c:v>
                </c:pt>
                <c:pt idx="25">
                  <c:v>1987</c:v>
                </c:pt>
                <c:pt idx="26">
                  <c:v>1986</c:v>
                </c:pt>
                <c:pt idx="27">
                  <c:v>1985</c:v>
                </c:pt>
                <c:pt idx="28">
                  <c:v>1984</c:v>
                </c:pt>
                <c:pt idx="29">
                  <c:v>1983</c:v>
                </c:pt>
                <c:pt idx="30">
                  <c:v>1982</c:v>
                </c:pt>
                <c:pt idx="31">
                  <c:v>1981</c:v>
                </c:pt>
                <c:pt idx="32">
                  <c:v>1980</c:v>
                </c:pt>
                <c:pt idx="33">
                  <c:v>1979</c:v>
                </c:pt>
                <c:pt idx="34">
                  <c:v>1978</c:v>
                </c:pt>
                <c:pt idx="35">
                  <c:v>1977</c:v>
                </c:pt>
                <c:pt idx="36">
                  <c:v>1976</c:v>
                </c:pt>
                <c:pt idx="37">
                  <c:v>1975</c:v>
                </c:pt>
                <c:pt idx="38">
                  <c:v>1974</c:v>
                </c:pt>
                <c:pt idx="39">
                  <c:v>1973</c:v>
                </c:pt>
                <c:pt idx="40">
                  <c:v>1972</c:v>
                </c:pt>
              </c:numCache>
            </c:numRef>
          </c:xVal>
          <c:yVal>
            <c:numRef>
              <c:f>Sheet1!$C$1:$C$41</c:f>
              <c:numCache>
                <c:formatCode>General</c:formatCode>
                <c:ptCount val="41"/>
                <c:pt idx="0">
                  <c:v>1.94</c:v>
                </c:pt>
                <c:pt idx="1">
                  <c:v>1.99</c:v>
                </c:pt>
                <c:pt idx="2">
                  <c:v>2.04</c:v>
                </c:pt>
                <c:pt idx="3">
                  <c:v>2.08</c:v>
                </c:pt>
                <c:pt idx="4">
                  <c:v>2.06</c:v>
                </c:pt>
                <c:pt idx="5">
                  <c:v>2.0699999999999998</c:v>
                </c:pt>
                <c:pt idx="6">
                  <c:v>2.11</c:v>
                </c:pt>
                <c:pt idx="7">
                  <c:v>2.13</c:v>
                </c:pt>
                <c:pt idx="8">
                  <c:v>2.2799999999999998</c:v>
                </c:pt>
                <c:pt idx="9">
                  <c:v>2.11</c:v>
                </c:pt>
                <c:pt idx="10">
                  <c:v>2.1800000000000002</c:v>
                </c:pt>
                <c:pt idx="11">
                  <c:v>2.19</c:v>
                </c:pt>
                <c:pt idx="12">
                  <c:v>2.06</c:v>
                </c:pt>
                <c:pt idx="13">
                  <c:v>2.1</c:v>
                </c:pt>
                <c:pt idx="14">
                  <c:v>2.1</c:v>
                </c:pt>
                <c:pt idx="15">
                  <c:v>2.08</c:v>
                </c:pt>
                <c:pt idx="16">
                  <c:v>2.06</c:v>
                </c:pt>
                <c:pt idx="17">
                  <c:v>2.0499999999999998</c:v>
                </c:pt>
                <c:pt idx="18">
                  <c:v>2.06</c:v>
                </c:pt>
                <c:pt idx="19">
                  <c:v>2.0499999999999998</c:v>
                </c:pt>
                <c:pt idx="20">
                  <c:v>2.09</c:v>
                </c:pt>
                <c:pt idx="21">
                  <c:v>2.15</c:v>
                </c:pt>
                <c:pt idx="22">
                  <c:v>2.11</c:v>
                </c:pt>
                <c:pt idx="23">
                  <c:v>2.04</c:v>
                </c:pt>
                <c:pt idx="24">
                  <c:v>2.0299999999999998</c:v>
                </c:pt>
                <c:pt idx="25">
                  <c:v>2.08</c:v>
                </c:pt>
                <c:pt idx="26">
                  <c:v>2.17</c:v>
                </c:pt>
                <c:pt idx="27">
                  <c:v>2.15</c:v>
                </c:pt>
                <c:pt idx="28">
                  <c:v>1.97</c:v>
                </c:pt>
                <c:pt idx="29">
                  <c:v>2.09</c:v>
                </c:pt>
                <c:pt idx="30">
                  <c:v>2.08</c:v>
                </c:pt>
                <c:pt idx="31">
                  <c:v>1.95</c:v>
                </c:pt>
                <c:pt idx="32">
                  <c:v>2.14</c:v>
                </c:pt>
                <c:pt idx="33">
                  <c:v>2.12</c:v>
                </c:pt>
                <c:pt idx="34">
                  <c:v>2.2200000000000002</c:v>
                </c:pt>
                <c:pt idx="35">
                  <c:v>2.16</c:v>
                </c:pt>
                <c:pt idx="36">
                  <c:v>2.0699999999999998</c:v>
                </c:pt>
                <c:pt idx="37">
                  <c:v>2.2200000000000002</c:v>
                </c:pt>
                <c:pt idx="38">
                  <c:v>2.1800000000000002</c:v>
                </c:pt>
                <c:pt idx="39">
                  <c:v>2.39</c:v>
                </c:pt>
                <c:pt idx="40">
                  <c:v>2.0499999999999998</c:v>
                </c:pt>
              </c:numCache>
            </c:numRef>
          </c:yVal>
          <c:smooth val="1"/>
        </c:ser>
        <c:ser>
          <c:idx val="2"/>
          <c:order val="2"/>
          <c:tx>
            <c:v>Oak</c:v>
          </c:tx>
          <c:spPr>
            <a:ln w="25400">
              <a:solidFill>
                <a:srgbClr val="800080"/>
              </a:solidFill>
              <a:prstDash val="solid"/>
            </a:ln>
          </c:spPr>
          <c:marker>
            <c:symbol val="square"/>
            <c:size val="8"/>
            <c:spPr>
              <a:noFill/>
              <a:ln w="9525">
                <a:noFill/>
              </a:ln>
            </c:spPr>
          </c:marker>
          <c:xVal>
            <c:numRef>
              <c:f>Sheet1!$A$1:$A$41</c:f>
              <c:numCache>
                <c:formatCode>General</c:formatCode>
                <c:ptCount val="41"/>
                <c:pt idx="0">
                  <c:v>2012</c:v>
                </c:pt>
                <c:pt idx="1">
                  <c:v>2011</c:v>
                </c:pt>
                <c:pt idx="2">
                  <c:v>2010</c:v>
                </c:pt>
                <c:pt idx="3">
                  <c:v>2009</c:v>
                </c:pt>
                <c:pt idx="4">
                  <c:v>2008</c:v>
                </c:pt>
                <c:pt idx="5">
                  <c:v>2007</c:v>
                </c:pt>
                <c:pt idx="6">
                  <c:v>2006</c:v>
                </c:pt>
                <c:pt idx="7">
                  <c:v>2005</c:v>
                </c:pt>
                <c:pt idx="8">
                  <c:v>2004</c:v>
                </c:pt>
                <c:pt idx="9">
                  <c:v>2003</c:v>
                </c:pt>
                <c:pt idx="10">
                  <c:v>2002</c:v>
                </c:pt>
                <c:pt idx="11">
                  <c:v>2001</c:v>
                </c:pt>
                <c:pt idx="12">
                  <c:v>2000</c:v>
                </c:pt>
                <c:pt idx="13">
                  <c:v>1999</c:v>
                </c:pt>
                <c:pt idx="14">
                  <c:v>1998</c:v>
                </c:pt>
                <c:pt idx="15">
                  <c:v>1997</c:v>
                </c:pt>
                <c:pt idx="16">
                  <c:v>1996</c:v>
                </c:pt>
                <c:pt idx="17">
                  <c:v>1995</c:v>
                </c:pt>
                <c:pt idx="18">
                  <c:v>1994</c:v>
                </c:pt>
                <c:pt idx="19">
                  <c:v>1993</c:v>
                </c:pt>
                <c:pt idx="20">
                  <c:v>1992</c:v>
                </c:pt>
                <c:pt idx="21">
                  <c:v>1991</c:v>
                </c:pt>
                <c:pt idx="22">
                  <c:v>1990</c:v>
                </c:pt>
                <c:pt idx="23">
                  <c:v>1989</c:v>
                </c:pt>
                <c:pt idx="24">
                  <c:v>1988</c:v>
                </c:pt>
                <c:pt idx="25">
                  <c:v>1987</c:v>
                </c:pt>
                <c:pt idx="26">
                  <c:v>1986</c:v>
                </c:pt>
                <c:pt idx="27">
                  <c:v>1985</c:v>
                </c:pt>
                <c:pt idx="28">
                  <c:v>1984</c:v>
                </c:pt>
                <c:pt idx="29">
                  <c:v>1983</c:v>
                </c:pt>
                <c:pt idx="30">
                  <c:v>1982</c:v>
                </c:pt>
                <c:pt idx="31">
                  <c:v>1981</c:v>
                </c:pt>
                <c:pt idx="32">
                  <c:v>1980</c:v>
                </c:pt>
                <c:pt idx="33">
                  <c:v>1979</c:v>
                </c:pt>
                <c:pt idx="34">
                  <c:v>1978</c:v>
                </c:pt>
                <c:pt idx="35">
                  <c:v>1977</c:v>
                </c:pt>
                <c:pt idx="36">
                  <c:v>1976</c:v>
                </c:pt>
                <c:pt idx="37">
                  <c:v>1975</c:v>
                </c:pt>
                <c:pt idx="38">
                  <c:v>1974</c:v>
                </c:pt>
                <c:pt idx="39">
                  <c:v>1973</c:v>
                </c:pt>
                <c:pt idx="40">
                  <c:v>1972</c:v>
                </c:pt>
              </c:numCache>
            </c:numRef>
          </c:xVal>
          <c:yVal>
            <c:numRef>
              <c:f>Sheet1!$D$1:$D$41</c:f>
              <c:numCache>
                <c:formatCode>General</c:formatCode>
                <c:ptCount val="41"/>
                <c:pt idx="0">
                  <c:v>1.59</c:v>
                </c:pt>
                <c:pt idx="1">
                  <c:v>1.67</c:v>
                </c:pt>
                <c:pt idx="2">
                  <c:v>1.63</c:v>
                </c:pt>
                <c:pt idx="3">
                  <c:v>1.59</c:v>
                </c:pt>
                <c:pt idx="4">
                  <c:v>1.62</c:v>
                </c:pt>
                <c:pt idx="5">
                  <c:v>1.52</c:v>
                </c:pt>
                <c:pt idx="6">
                  <c:v>1.54</c:v>
                </c:pt>
                <c:pt idx="7">
                  <c:v>1.47</c:v>
                </c:pt>
                <c:pt idx="8">
                  <c:v>1.57</c:v>
                </c:pt>
                <c:pt idx="9">
                  <c:v>1.56</c:v>
                </c:pt>
                <c:pt idx="10">
                  <c:v>1.64</c:v>
                </c:pt>
                <c:pt idx="11">
                  <c:v>1.69</c:v>
                </c:pt>
                <c:pt idx="12">
                  <c:v>1.55</c:v>
                </c:pt>
                <c:pt idx="13">
                  <c:v>1.55</c:v>
                </c:pt>
                <c:pt idx="14">
                  <c:v>1.58</c:v>
                </c:pt>
                <c:pt idx="15">
                  <c:v>1.63</c:v>
                </c:pt>
                <c:pt idx="16">
                  <c:v>1.64</c:v>
                </c:pt>
                <c:pt idx="17">
                  <c:v>1.59</c:v>
                </c:pt>
                <c:pt idx="18">
                  <c:v>1.57</c:v>
                </c:pt>
                <c:pt idx="19">
                  <c:v>1.6</c:v>
                </c:pt>
                <c:pt idx="20">
                  <c:v>1.6</c:v>
                </c:pt>
                <c:pt idx="21">
                  <c:v>1.62</c:v>
                </c:pt>
                <c:pt idx="22">
                  <c:v>1.63</c:v>
                </c:pt>
                <c:pt idx="23">
                  <c:v>1.64</c:v>
                </c:pt>
                <c:pt idx="24">
                  <c:v>1.59</c:v>
                </c:pt>
                <c:pt idx="25">
                  <c:v>1.65</c:v>
                </c:pt>
                <c:pt idx="26">
                  <c:v>1.64</c:v>
                </c:pt>
                <c:pt idx="27">
                  <c:v>1.64</c:v>
                </c:pt>
                <c:pt idx="28">
                  <c:v>1.77</c:v>
                </c:pt>
                <c:pt idx="29">
                  <c:v>1.83</c:v>
                </c:pt>
                <c:pt idx="30">
                  <c:v>1.67</c:v>
                </c:pt>
                <c:pt idx="31">
                  <c:v>1.59</c:v>
                </c:pt>
                <c:pt idx="32">
                  <c:v>1.71</c:v>
                </c:pt>
                <c:pt idx="33">
                  <c:v>1.74</c:v>
                </c:pt>
                <c:pt idx="34">
                  <c:v>1.8</c:v>
                </c:pt>
                <c:pt idx="35">
                  <c:v>1.69</c:v>
                </c:pt>
                <c:pt idx="36">
                  <c:v>1.81</c:v>
                </c:pt>
                <c:pt idx="37">
                  <c:v>1.76</c:v>
                </c:pt>
                <c:pt idx="38">
                  <c:v>1.78</c:v>
                </c:pt>
                <c:pt idx="39">
                  <c:v>1.85</c:v>
                </c:pt>
                <c:pt idx="40">
                  <c:v>1.84</c:v>
                </c:pt>
              </c:numCache>
            </c:numRef>
          </c:yVal>
          <c:smooth val="1"/>
        </c:ser>
        <c:dLbls>
          <c:showLegendKey val="0"/>
          <c:showVal val="0"/>
          <c:showCatName val="0"/>
          <c:showSerName val="0"/>
          <c:showPercent val="0"/>
          <c:showBubbleSize val="0"/>
        </c:dLbls>
        <c:axId val="121689600"/>
        <c:axId val="121897728"/>
      </c:scatterChart>
      <c:valAx>
        <c:axId val="121689600"/>
        <c:scaling>
          <c:orientation val="minMax"/>
          <c:max val="2012"/>
          <c:min val="1972"/>
        </c:scaling>
        <c:delete val="0"/>
        <c:axPos val="b"/>
        <c:title>
          <c:tx>
            <c:rich>
              <a:bodyPr/>
              <a:lstStyle/>
              <a:p>
                <a:pPr>
                  <a:defRPr sz="1200" b="1" i="0" u="none" strike="noStrike" baseline="0">
                    <a:solidFill>
                      <a:srgbClr val="000000"/>
                    </a:solidFill>
                    <a:latin typeface="Arial"/>
                    <a:ea typeface="Arial"/>
                    <a:cs typeface="Arial"/>
                  </a:defRPr>
                </a:pPr>
                <a:r>
                  <a:t>Year</a:t>
                </a:r>
              </a:p>
            </c:rich>
          </c:tx>
          <c:layout>
            <c:manualLayout>
              <c:xMode val="edge"/>
              <c:yMode val="edge"/>
              <c:x val="0.52650176678445226"/>
              <c:y val="0.84362139917695478"/>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1200" b="0" i="0" u="none" strike="noStrike" baseline="0">
                <a:solidFill>
                  <a:srgbClr val="000000"/>
                </a:solidFill>
                <a:latin typeface="Arial"/>
                <a:ea typeface="Arial"/>
                <a:cs typeface="Arial"/>
              </a:defRPr>
            </a:pPr>
            <a:endParaRPr lang="en-US"/>
          </a:p>
        </c:txPr>
        <c:crossAx val="121897728"/>
        <c:crosses val="autoZero"/>
        <c:crossBetween val="midCat"/>
        <c:majorUnit val="5"/>
      </c:valAx>
      <c:valAx>
        <c:axId val="121897728"/>
        <c:scaling>
          <c:orientation val="minMax"/>
          <c:max val="2.4"/>
          <c:min val="1.4"/>
        </c:scaling>
        <c:delete val="0"/>
        <c:axPos val="l"/>
        <c:majorGridlines>
          <c:spPr>
            <a:ln w="3175">
              <a:solidFill>
                <a:srgbClr val="000000"/>
              </a:solidFill>
              <a:prstDash val="solid"/>
            </a:ln>
          </c:spPr>
        </c:majorGridlines>
        <c:title>
          <c:tx>
            <c:rich>
              <a:bodyPr/>
              <a:lstStyle/>
              <a:p>
                <a:pPr>
                  <a:defRPr sz="1100" b="1" i="0" u="none" strike="noStrike" baseline="0">
                    <a:solidFill>
                      <a:srgbClr val="000000"/>
                    </a:solidFill>
                    <a:latin typeface="Arial"/>
                    <a:ea typeface="Arial"/>
                    <a:cs typeface="Arial"/>
                  </a:defRPr>
                </a:pPr>
                <a:r>
                  <a:t>Average ring widths (mm)</a:t>
                </a:r>
              </a:p>
            </c:rich>
          </c:tx>
          <c:layout>
            <c:manualLayout>
              <c:xMode val="edge"/>
              <c:yMode val="edge"/>
              <c:x val="1.2367491166077738E-2"/>
              <c:y val="0.34979423868312759"/>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1200" b="0" i="0" u="none" strike="noStrike" baseline="0">
                <a:solidFill>
                  <a:srgbClr val="000000"/>
                </a:solidFill>
                <a:latin typeface="Arial"/>
                <a:ea typeface="Arial"/>
                <a:cs typeface="Arial"/>
              </a:defRPr>
            </a:pPr>
            <a:endParaRPr lang="en-US"/>
          </a:p>
        </c:txPr>
        <c:crossAx val="121689600"/>
        <c:crosses val="autoZero"/>
        <c:crossBetween val="midCat"/>
        <c:majorUnit val="0.2"/>
      </c:valAx>
      <c:spPr>
        <a:solidFill>
          <a:srgbClr val="FFFFFF"/>
        </a:solidFill>
        <a:ln w="12700">
          <a:solidFill>
            <a:srgbClr val="808080"/>
          </a:solidFill>
          <a:prstDash val="solid"/>
        </a:ln>
      </c:spPr>
    </c:plotArea>
    <c:legend>
      <c:legendPos val="r"/>
      <c:layout>
        <c:manualLayout>
          <c:xMode val="edge"/>
          <c:yMode val="edge"/>
          <c:x val="0.81978798586572443"/>
          <c:y val="1.646090534979424E-2"/>
          <c:w val="0.16961130742049471"/>
          <c:h val="0.27983539094650206"/>
        </c:manualLayout>
      </c:layout>
      <c:overlay val="0"/>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en-US"/>
        </a:p>
      </c:txPr>
    </c:legend>
    <c:plotVisOnly val="1"/>
    <c:dispBlanksAs val="gap"/>
    <c:showDLblsOverMax val="0"/>
  </c:chart>
  <c:spPr>
    <a:solidFill>
      <a:srgbClr val="FFFFFF"/>
    </a:solidFill>
    <a:ln w="3175">
      <a:solidFill>
        <a:srgbClr val="000000"/>
      </a:solidFill>
      <a:prstDash val="solid"/>
    </a:ln>
  </c:spPr>
  <c:txPr>
    <a:bodyPr/>
    <a:lstStyle/>
    <a:p>
      <a:pPr>
        <a:defRPr sz="1200" b="0" i="0" u="none" strike="noStrike" baseline="0">
          <a:solidFill>
            <a:srgbClr val="000000"/>
          </a:solidFill>
          <a:latin typeface="Arial"/>
          <a:ea typeface="Arial"/>
          <a:cs typeface="Arial"/>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75" b="1" i="0" u="none" strike="noStrike" baseline="0">
                <a:solidFill>
                  <a:srgbClr val="000000"/>
                </a:solidFill>
                <a:latin typeface="Arial"/>
                <a:ea typeface="Arial"/>
                <a:cs typeface="Arial"/>
              </a:defRPr>
            </a:pPr>
            <a:r>
              <a:t>Average annual precipitation (mm) between 1972-2012</a:t>
            </a:r>
          </a:p>
        </c:rich>
      </c:tx>
      <c:layout>
        <c:manualLayout>
          <c:xMode val="edge"/>
          <c:yMode val="edge"/>
          <c:x val="0.18411552346570398"/>
          <c:y val="2.8268551236749116E-2"/>
        </c:manualLayout>
      </c:layout>
      <c:overlay val="0"/>
      <c:spPr>
        <a:noFill/>
        <a:ln w="25399">
          <a:noFill/>
        </a:ln>
      </c:spPr>
    </c:title>
    <c:autoTitleDeleted val="0"/>
    <c:plotArea>
      <c:layout>
        <c:manualLayout>
          <c:layoutTarget val="inner"/>
          <c:xMode val="edge"/>
          <c:yMode val="edge"/>
          <c:x val="0.1407942238267148"/>
          <c:y val="0.35335689045936397"/>
          <c:w val="0.82310469314079426"/>
          <c:h val="0.40989399293286222"/>
        </c:manualLayout>
      </c:layout>
      <c:scatterChart>
        <c:scatterStyle val="smoothMarker"/>
        <c:varyColors val="0"/>
        <c:ser>
          <c:idx val="0"/>
          <c:order val="0"/>
          <c:spPr>
            <a:ln w="25399">
              <a:solidFill>
                <a:srgbClr val="0000FF"/>
              </a:solidFill>
              <a:prstDash val="solid"/>
            </a:ln>
          </c:spPr>
          <c:marker>
            <c:symbol val="none"/>
          </c:marker>
          <c:xVal>
            <c:numRef>
              <c:f>Sheet1!$A$1:$A$41</c:f>
              <c:numCache>
                <c:formatCode>General</c:formatCode>
                <c:ptCount val="41"/>
                <c:pt idx="0">
                  <c:v>1972</c:v>
                </c:pt>
                <c:pt idx="1">
                  <c:v>1973</c:v>
                </c:pt>
                <c:pt idx="2">
                  <c:v>1974</c:v>
                </c:pt>
                <c:pt idx="3">
                  <c:v>1975</c:v>
                </c:pt>
                <c:pt idx="4">
                  <c:v>1976</c:v>
                </c:pt>
                <c:pt idx="5">
                  <c:v>1977</c:v>
                </c:pt>
                <c:pt idx="6">
                  <c:v>1978</c:v>
                </c:pt>
                <c:pt idx="7">
                  <c:v>1979</c:v>
                </c:pt>
                <c:pt idx="8">
                  <c:v>1980</c:v>
                </c:pt>
                <c:pt idx="9">
                  <c:v>1981</c:v>
                </c:pt>
                <c:pt idx="10">
                  <c:v>1982</c:v>
                </c:pt>
                <c:pt idx="11">
                  <c:v>1983</c:v>
                </c:pt>
                <c:pt idx="12">
                  <c:v>1984</c:v>
                </c:pt>
                <c:pt idx="13">
                  <c:v>1985</c:v>
                </c:pt>
                <c:pt idx="14">
                  <c:v>1986</c:v>
                </c:pt>
                <c:pt idx="15">
                  <c:v>1987</c:v>
                </c:pt>
                <c:pt idx="16">
                  <c:v>1988</c:v>
                </c:pt>
                <c:pt idx="17">
                  <c:v>1989</c:v>
                </c:pt>
                <c:pt idx="18">
                  <c:v>1990</c:v>
                </c:pt>
                <c:pt idx="19">
                  <c:v>1991</c:v>
                </c:pt>
                <c:pt idx="20">
                  <c:v>1992</c:v>
                </c:pt>
                <c:pt idx="21">
                  <c:v>1993</c:v>
                </c:pt>
                <c:pt idx="22">
                  <c:v>1994</c:v>
                </c:pt>
                <c:pt idx="23">
                  <c:v>1995</c:v>
                </c:pt>
                <c:pt idx="24">
                  <c:v>1996</c:v>
                </c:pt>
                <c:pt idx="25">
                  <c:v>1997</c:v>
                </c:pt>
                <c:pt idx="26">
                  <c:v>1998</c:v>
                </c:pt>
                <c:pt idx="27">
                  <c:v>1999</c:v>
                </c:pt>
                <c:pt idx="28">
                  <c:v>2000</c:v>
                </c:pt>
                <c:pt idx="29">
                  <c:v>2001</c:v>
                </c:pt>
                <c:pt idx="30">
                  <c:v>2002</c:v>
                </c:pt>
                <c:pt idx="31">
                  <c:v>2003</c:v>
                </c:pt>
                <c:pt idx="32">
                  <c:v>2004</c:v>
                </c:pt>
                <c:pt idx="33">
                  <c:v>2005</c:v>
                </c:pt>
                <c:pt idx="34">
                  <c:v>2006</c:v>
                </c:pt>
                <c:pt idx="35">
                  <c:v>2007</c:v>
                </c:pt>
                <c:pt idx="36">
                  <c:v>2008</c:v>
                </c:pt>
                <c:pt idx="37">
                  <c:v>2009</c:v>
                </c:pt>
                <c:pt idx="38">
                  <c:v>2010</c:v>
                </c:pt>
                <c:pt idx="39">
                  <c:v>2011</c:v>
                </c:pt>
                <c:pt idx="40">
                  <c:v>2012</c:v>
                </c:pt>
              </c:numCache>
            </c:numRef>
          </c:xVal>
          <c:yVal>
            <c:numRef>
              <c:f>Sheet1!$B$1:$B$41</c:f>
              <c:numCache>
                <c:formatCode>General</c:formatCode>
                <c:ptCount val="41"/>
                <c:pt idx="0">
                  <c:v>1142.5999999999999</c:v>
                </c:pt>
                <c:pt idx="1">
                  <c:v>1108.7</c:v>
                </c:pt>
                <c:pt idx="2">
                  <c:v>1376.3</c:v>
                </c:pt>
                <c:pt idx="3">
                  <c:v>953.62</c:v>
                </c:pt>
                <c:pt idx="4">
                  <c:v>995.1</c:v>
                </c:pt>
                <c:pt idx="5">
                  <c:v>1263.8</c:v>
                </c:pt>
                <c:pt idx="6">
                  <c:v>1173.82</c:v>
                </c:pt>
                <c:pt idx="7">
                  <c:v>1316.5</c:v>
                </c:pt>
                <c:pt idx="8">
                  <c:v>1478.5</c:v>
                </c:pt>
                <c:pt idx="9">
                  <c:v>1578.4</c:v>
                </c:pt>
                <c:pt idx="10">
                  <c:v>1281.7</c:v>
                </c:pt>
                <c:pt idx="11">
                  <c:v>1168.9000000000001</c:v>
                </c:pt>
                <c:pt idx="12">
                  <c:v>1183</c:v>
                </c:pt>
                <c:pt idx="13">
                  <c:v>1097.9000000000001</c:v>
                </c:pt>
                <c:pt idx="14">
                  <c:v>1399.9</c:v>
                </c:pt>
                <c:pt idx="15">
                  <c:v>1179.4000000000001</c:v>
                </c:pt>
                <c:pt idx="16">
                  <c:v>1339.67</c:v>
                </c:pt>
                <c:pt idx="17">
                  <c:v>1043.56</c:v>
                </c:pt>
                <c:pt idx="18">
                  <c:v>1188.54</c:v>
                </c:pt>
                <c:pt idx="19">
                  <c:v>1126.8</c:v>
                </c:pt>
                <c:pt idx="20">
                  <c:v>1332.4</c:v>
                </c:pt>
                <c:pt idx="21">
                  <c:v>1156</c:v>
                </c:pt>
                <c:pt idx="22">
                  <c:v>1278.3499999999999</c:v>
                </c:pt>
                <c:pt idx="23">
                  <c:v>926.86</c:v>
                </c:pt>
                <c:pt idx="24">
                  <c:v>959.5</c:v>
                </c:pt>
                <c:pt idx="25">
                  <c:v>1105.5</c:v>
                </c:pt>
                <c:pt idx="26">
                  <c:v>1395.34</c:v>
                </c:pt>
                <c:pt idx="27">
                  <c:v>1304.2</c:v>
                </c:pt>
                <c:pt idx="28">
                  <c:v>1633.7</c:v>
                </c:pt>
                <c:pt idx="29">
                  <c:v>1282.4000000000001</c:v>
                </c:pt>
                <c:pt idx="30">
                  <c:v>1524.4</c:v>
                </c:pt>
                <c:pt idx="31">
                  <c:v>1021.8</c:v>
                </c:pt>
                <c:pt idx="32">
                  <c:v>1408.8</c:v>
                </c:pt>
                <c:pt idx="33">
                  <c:v>1111.9000000000001</c:v>
                </c:pt>
                <c:pt idx="34">
                  <c:v>1188.94</c:v>
                </c:pt>
                <c:pt idx="35">
                  <c:v>1573.61</c:v>
                </c:pt>
                <c:pt idx="36">
                  <c:v>1513.99</c:v>
                </c:pt>
                <c:pt idx="37">
                  <c:v>1295.53</c:v>
                </c:pt>
                <c:pt idx="38">
                  <c:v>985.66</c:v>
                </c:pt>
                <c:pt idx="39">
                  <c:v>1287.77</c:v>
                </c:pt>
                <c:pt idx="40">
                  <c:v>1656.33</c:v>
                </c:pt>
              </c:numCache>
            </c:numRef>
          </c:yVal>
          <c:smooth val="1"/>
        </c:ser>
        <c:dLbls>
          <c:showLegendKey val="0"/>
          <c:showVal val="0"/>
          <c:showCatName val="0"/>
          <c:showSerName val="0"/>
          <c:showPercent val="0"/>
          <c:showBubbleSize val="0"/>
        </c:dLbls>
        <c:axId val="121664256"/>
        <c:axId val="121666176"/>
      </c:scatterChart>
      <c:valAx>
        <c:axId val="121664256"/>
        <c:scaling>
          <c:orientation val="minMax"/>
          <c:max val="2012"/>
          <c:min val="1972"/>
        </c:scaling>
        <c:delete val="0"/>
        <c:axPos val="b"/>
        <c:title>
          <c:tx>
            <c:rich>
              <a:bodyPr/>
              <a:lstStyle/>
              <a:p>
                <a:pPr>
                  <a:defRPr sz="1175" b="1" i="0" u="none" strike="noStrike" baseline="0">
                    <a:solidFill>
                      <a:srgbClr val="000000"/>
                    </a:solidFill>
                    <a:latin typeface="Arial"/>
                    <a:ea typeface="Arial"/>
                    <a:cs typeface="Arial"/>
                  </a:defRPr>
                </a:pPr>
                <a:r>
                  <a:t>Year</a:t>
                </a:r>
              </a:p>
            </c:rich>
          </c:tx>
          <c:layout>
            <c:manualLayout>
              <c:xMode val="edge"/>
              <c:yMode val="edge"/>
              <c:x val="0.51444043321299637"/>
              <c:y val="0.8975265017667845"/>
            </c:manualLayout>
          </c:layout>
          <c:overlay val="0"/>
          <c:spPr>
            <a:noFill/>
            <a:ln w="25399">
              <a:noFill/>
            </a:ln>
          </c:spPr>
        </c:title>
        <c:numFmt formatCode="General" sourceLinked="1"/>
        <c:majorTickMark val="out"/>
        <c:minorTickMark val="none"/>
        <c:tickLblPos val="nextTo"/>
        <c:spPr>
          <a:ln w="3175">
            <a:solidFill>
              <a:srgbClr val="000000"/>
            </a:solidFill>
            <a:prstDash val="solid"/>
          </a:ln>
        </c:spPr>
        <c:txPr>
          <a:bodyPr rot="0" vert="horz"/>
          <a:lstStyle/>
          <a:p>
            <a:pPr>
              <a:defRPr sz="1175" b="0" i="0" u="none" strike="noStrike" baseline="0">
                <a:solidFill>
                  <a:srgbClr val="000000"/>
                </a:solidFill>
                <a:latin typeface="Arial"/>
                <a:ea typeface="Arial"/>
                <a:cs typeface="Arial"/>
              </a:defRPr>
            </a:pPr>
            <a:endParaRPr lang="en-US"/>
          </a:p>
        </c:txPr>
        <c:crossAx val="121666176"/>
        <c:crosses val="autoZero"/>
        <c:crossBetween val="midCat"/>
        <c:majorUnit val="5"/>
      </c:valAx>
      <c:valAx>
        <c:axId val="121666176"/>
        <c:scaling>
          <c:orientation val="minMax"/>
          <c:max val="1720"/>
          <c:min val="900"/>
        </c:scaling>
        <c:delete val="0"/>
        <c:axPos val="l"/>
        <c:majorGridlines>
          <c:spPr>
            <a:ln w="3175">
              <a:solidFill>
                <a:srgbClr val="000000"/>
              </a:solidFill>
              <a:prstDash val="solid"/>
            </a:ln>
          </c:spPr>
        </c:majorGridlines>
        <c:title>
          <c:tx>
            <c:rich>
              <a:bodyPr/>
              <a:lstStyle/>
              <a:p>
                <a:pPr>
                  <a:defRPr sz="1075" b="1" i="0" u="none" strike="noStrike" baseline="0">
                    <a:solidFill>
                      <a:srgbClr val="000000"/>
                    </a:solidFill>
                    <a:latin typeface="Arial"/>
                    <a:ea typeface="Arial"/>
                    <a:cs typeface="Arial"/>
                  </a:defRPr>
                </a:pPr>
                <a:r>
                  <a:t>Precipitation (mm)</a:t>
                </a:r>
              </a:p>
            </c:rich>
          </c:tx>
          <c:layout>
            <c:manualLayout>
              <c:xMode val="edge"/>
              <c:yMode val="edge"/>
              <c:x val="0"/>
              <c:y val="0.3462897526501767"/>
            </c:manualLayout>
          </c:layout>
          <c:overlay val="0"/>
          <c:spPr>
            <a:noFill/>
            <a:ln w="25399">
              <a:noFill/>
            </a:ln>
          </c:spPr>
        </c:title>
        <c:numFmt formatCode="General" sourceLinked="1"/>
        <c:majorTickMark val="out"/>
        <c:minorTickMark val="none"/>
        <c:tickLblPos val="nextTo"/>
        <c:spPr>
          <a:ln w="3175">
            <a:solidFill>
              <a:srgbClr val="000000"/>
            </a:solidFill>
            <a:prstDash val="solid"/>
          </a:ln>
        </c:spPr>
        <c:txPr>
          <a:bodyPr rot="0" vert="horz"/>
          <a:lstStyle/>
          <a:p>
            <a:pPr>
              <a:defRPr sz="1175" b="0" i="0" u="none" strike="noStrike" baseline="0">
                <a:solidFill>
                  <a:srgbClr val="000000"/>
                </a:solidFill>
                <a:latin typeface="Arial"/>
                <a:ea typeface="Arial"/>
                <a:cs typeface="Arial"/>
              </a:defRPr>
            </a:pPr>
            <a:endParaRPr lang="en-US"/>
          </a:p>
        </c:txPr>
        <c:crossAx val="121664256"/>
        <c:crosses val="autoZero"/>
        <c:crossBetween val="midCat"/>
        <c:majorUnit val="150"/>
      </c:valAx>
      <c:spPr>
        <a:solidFill>
          <a:srgbClr val="FFFFFF"/>
        </a:solid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1200" b="0" i="0" u="none" strike="noStrike" baseline="0">
          <a:solidFill>
            <a:srgbClr val="000000"/>
          </a:solidFill>
          <a:latin typeface="Arial"/>
          <a:ea typeface="Arial"/>
          <a:cs typeface="Arial"/>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501" b="1" i="0" u="none" strike="noStrike" baseline="0">
                <a:solidFill>
                  <a:srgbClr val="000000"/>
                </a:solidFill>
                <a:latin typeface="Arial"/>
                <a:ea typeface="Arial"/>
                <a:cs typeface="Arial"/>
              </a:defRPr>
            </a:pPr>
            <a:r>
              <a:t>Annual average temperature (ºC) between 1972 and 2012</a:t>
            </a:r>
          </a:p>
        </c:rich>
      </c:tx>
      <c:layout>
        <c:manualLayout>
          <c:xMode val="edge"/>
          <c:yMode val="edge"/>
          <c:x val="0.11367673179396093"/>
          <c:y val="3.5294117647058823E-2"/>
        </c:manualLayout>
      </c:layout>
      <c:overlay val="0"/>
      <c:spPr>
        <a:noFill/>
        <a:ln w="25414">
          <a:noFill/>
        </a:ln>
      </c:spPr>
    </c:title>
    <c:autoTitleDeleted val="0"/>
    <c:plotArea>
      <c:layout>
        <c:manualLayout>
          <c:layoutTarget val="inner"/>
          <c:xMode val="edge"/>
          <c:yMode val="edge"/>
          <c:x val="0.15808170515097691"/>
          <c:y val="0.38039215686274508"/>
          <c:w val="0.78863232682060391"/>
          <c:h val="0.33725490196078434"/>
        </c:manualLayout>
      </c:layout>
      <c:scatterChart>
        <c:scatterStyle val="smoothMarker"/>
        <c:varyColors val="0"/>
        <c:ser>
          <c:idx val="0"/>
          <c:order val="0"/>
          <c:spPr>
            <a:ln w="38121">
              <a:solidFill>
                <a:srgbClr val="FF0000"/>
              </a:solidFill>
              <a:prstDash val="solid"/>
            </a:ln>
          </c:spPr>
          <c:marker>
            <c:symbol val="none"/>
          </c:marker>
          <c:xVal>
            <c:numRef>
              <c:f>Sheet1!$E$1:$E$41</c:f>
              <c:numCache>
                <c:formatCode>General</c:formatCode>
                <c:ptCount val="41"/>
                <c:pt idx="0">
                  <c:v>1972</c:v>
                </c:pt>
                <c:pt idx="1">
                  <c:v>1973</c:v>
                </c:pt>
                <c:pt idx="2">
                  <c:v>1974</c:v>
                </c:pt>
                <c:pt idx="3">
                  <c:v>1975</c:v>
                </c:pt>
                <c:pt idx="4">
                  <c:v>1976</c:v>
                </c:pt>
                <c:pt idx="5">
                  <c:v>1977</c:v>
                </c:pt>
                <c:pt idx="6">
                  <c:v>1978</c:v>
                </c:pt>
                <c:pt idx="7">
                  <c:v>1979</c:v>
                </c:pt>
                <c:pt idx="8">
                  <c:v>1980</c:v>
                </c:pt>
                <c:pt idx="9">
                  <c:v>1981</c:v>
                </c:pt>
                <c:pt idx="10">
                  <c:v>1982</c:v>
                </c:pt>
                <c:pt idx="11">
                  <c:v>1983</c:v>
                </c:pt>
                <c:pt idx="12">
                  <c:v>1984</c:v>
                </c:pt>
                <c:pt idx="13">
                  <c:v>1985</c:v>
                </c:pt>
                <c:pt idx="14">
                  <c:v>1986</c:v>
                </c:pt>
                <c:pt idx="15">
                  <c:v>1987</c:v>
                </c:pt>
                <c:pt idx="16">
                  <c:v>1988</c:v>
                </c:pt>
                <c:pt idx="17">
                  <c:v>1989</c:v>
                </c:pt>
                <c:pt idx="18">
                  <c:v>1990</c:v>
                </c:pt>
                <c:pt idx="19">
                  <c:v>1991</c:v>
                </c:pt>
                <c:pt idx="20">
                  <c:v>1992</c:v>
                </c:pt>
                <c:pt idx="21">
                  <c:v>1993</c:v>
                </c:pt>
                <c:pt idx="22">
                  <c:v>1994</c:v>
                </c:pt>
                <c:pt idx="23">
                  <c:v>1995</c:v>
                </c:pt>
                <c:pt idx="24">
                  <c:v>1996</c:v>
                </c:pt>
                <c:pt idx="25">
                  <c:v>1997</c:v>
                </c:pt>
                <c:pt idx="26">
                  <c:v>1998</c:v>
                </c:pt>
                <c:pt idx="27">
                  <c:v>1999</c:v>
                </c:pt>
                <c:pt idx="28">
                  <c:v>2000</c:v>
                </c:pt>
                <c:pt idx="29">
                  <c:v>2001</c:v>
                </c:pt>
                <c:pt idx="30">
                  <c:v>2002</c:v>
                </c:pt>
                <c:pt idx="31">
                  <c:v>2003</c:v>
                </c:pt>
                <c:pt idx="32">
                  <c:v>2004</c:v>
                </c:pt>
                <c:pt idx="33">
                  <c:v>2005</c:v>
                </c:pt>
                <c:pt idx="34">
                  <c:v>2006</c:v>
                </c:pt>
                <c:pt idx="35">
                  <c:v>2007</c:v>
                </c:pt>
                <c:pt idx="36">
                  <c:v>2008</c:v>
                </c:pt>
                <c:pt idx="37">
                  <c:v>2009</c:v>
                </c:pt>
                <c:pt idx="38">
                  <c:v>2010</c:v>
                </c:pt>
                <c:pt idx="39">
                  <c:v>2011</c:v>
                </c:pt>
                <c:pt idx="40">
                  <c:v>2012</c:v>
                </c:pt>
              </c:numCache>
            </c:numRef>
          </c:xVal>
          <c:yVal>
            <c:numRef>
              <c:f>Sheet1!$F$1:$F$41</c:f>
              <c:numCache>
                <c:formatCode>General</c:formatCode>
                <c:ptCount val="41"/>
                <c:pt idx="0">
                  <c:v>11.6</c:v>
                </c:pt>
                <c:pt idx="1">
                  <c:v>12</c:v>
                </c:pt>
                <c:pt idx="2">
                  <c:v>11.9</c:v>
                </c:pt>
                <c:pt idx="3">
                  <c:v>12.5</c:v>
                </c:pt>
                <c:pt idx="4">
                  <c:v>12.2</c:v>
                </c:pt>
                <c:pt idx="5">
                  <c:v>11.7</c:v>
                </c:pt>
                <c:pt idx="6">
                  <c:v>11.6</c:v>
                </c:pt>
                <c:pt idx="7">
                  <c:v>10.9</c:v>
                </c:pt>
                <c:pt idx="8">
                  <c:v>11.6</c:v>
                </c:pt>
                <c:pt idx="9">
                  <c:v>11.6</c:v>
                </c:pt>
                <c:pt idx="10">
                  <c:v>12.4</c:v>
                </c:pt>
                <c:pt idx="11">
                  <c:v>12.3</c:v>
                </c:pt>
                <c:pt idx="12">
                  <c:v>12.4</c:v>
                </c:pt>
                <c:pt idx="13">
                  <c:v>11.1</c:v>
                </c:pt>
                <c:pt idx="14">
                  <c:v>11.1</c:v>
                </c:pt>
                <c:pt idx="15">
                  <c:v>11.3</c:v>
                </c:pt>
                <c:pt idx="16">
                  <c:v>12.2</c:v>
                </c:pt>
                <c:pt idx="17">
                  <c:v>13</c:v>
                </c:pt>
                <c:pt idx="18">
                  <c:v>13</c:v>
                </c:pt>
                <c:pt idx="19">
                  <c:v>12.2</c:v>
                </c:pt>
                <c:pt idx="20">
                  <c:v>12.5</c:v>
                </c:pt>
                <c:pt idx="21">
                  <c:v>11.8</c:v>
                </c:pt>
                <c:pt idx="22">
                  <c:v>12</c:v>
                </c:pt>
                <c:pt idx="23">
                  <c:v>12.9</c:v>
                </c:pt>
                <c:pt idx="24">
                  <c:v>11.5</c:v>
                </c:pt>
                <c:pt idx="25">
                  <c:v>12.9</c:v>
                </c:pt>
                <c:pt idx="26">
                  <c:v>12.4</c:v>
                </c:pt>
                <c:pt idx="27">
                  <c:v>12.7</c:v>
                </c:pt>
                <c:pt idx="28">
                  <c:v>12.5</c:v>
                </c:pt>
                <c:pt idx="29">
                  <c:v>12.4</c:v>
                </c:pt>
                <c:pt idx="30">
                  <c:v>12.8</c:v>
                </c:pt>
                <c:pt idx="31">
                  <c:v>13.4</c:v>
                </c:pt>
                <c:pt idx="32">
                  <c:v>12.9</c:v>
                </c:pt>
                <c:pt idx="33">
                  <c:v>12.7</c:v>
                </c:pt>
                <c:pt idx="34">
                  <c:v>13</c:v>
                </c:pt>
                <c:pt idx="35">
                  <c:v>13.3</c:v>
                </c:pt>
                <c:pt idx="36">
                  <c:v>12.6</c:v>
                </c:pt>
                <c:pt idx="37">
                  <c:v>12.5</c:v>
                </c:pt>
                <c:pt idx="38">
                  <c:v>11.5</c:v>
                </c:pt>
                <c:pt idx="39">
                  <c:v>12.9</c:v>
                </c:pt>
                <c:pt idx="40">
                  <c:v>12</c:v>
                </c:pt>
              </c:numCache>
            </c:numRef>
          </c:yVal>
          <c:smooth val="1"/>
        </c:ser>
        <c:dLbls>
          <c:showLegendKey val="0"/>
          <c:showVal val="0"/>
          <c:showCatName val="0"/>
          <c:showSerName val="0"/>
          <c:showPercent val="0"/>
          <c:showBubbleSize val="0"/>
        </c:dLbls>
        <c:axId val="121640832"/>
        <c:axId val="121643008"/>
      </c:scatterChart>
      <c:valAx>
        <c:axId val="121640832"/>
        <c:scaling>
          <c:orientation val="minMax"/>
          <c:max val="2012"/>
          <c:min val="1972"/>
        </c:scaling>
        <c:delete val="0"/>
        <c:axPos val="b"/>
        <c:title>
          <c:tx>
            <c:rich>
              <a:bodyPr/>
              <a:lstStyle/>
              <a:p>
                <a:pPr>
                  <a:defRPr sz="1201" b="1" i="0" u="none" strike="noStrike" baseline="0">
                    <a:solidFill>
                      <a:srgbClr val="000000"/>
                    </a:solidFill>
                    <a:latin typeface="Arial"/>
                    <a:ea typeface="Arial"/>
                    <a:cs typeface="Arial"/>
                  </a:defRPr>
                </a:pPr>
                <a:r>
                  <a:t>Year</a:t>
                </a:r>
              </a:p>
            </c:rich>
          </c:tx>
          <c:layout>
            <c:manualLayout>
              <c:xMode val="edge"/>
              <c:yMode val="edge"/>
              <c:x val="0.51509769094138547"/>
              <c:y val="0.85490196078431369"/>
            </c:manualLayout>
          </c:layout>
          <c:overlay val="0"/>
          <c:spPr>
            <a:noFill/>
            <a:ln w="25414">
              <a:noFill/>
            </a:ln>
          </c:spPr>
        </c:title>
        <c:numFmt formatCode="General" sourceLinked="1"/>
        <c:majorTickMark val="out"/>
        <c:minorTickMark val="none"/>
        <c:tickLblPos val="nextTo"/>
        <c:spPr>
          <a:ln w="3177">
            <a:solidFill>
              <a:srgbClr val="000000"/>
            </a:solidFill>
            <a:prstDash val="solid"/>
          </a:ln>
        </c:spPr>
        <c:txPr>
          <a:bodyPr rot="0" vert="horz"/>
          <a:lstStyle/>
          <a:p>
            <a:pPr>
              <a:defRPr sz="1201" b="0" i="0" u="none" strike="noStrike" baseline="0">
                <a:solidFill>
                  <a:srgbClr val="000000"/>
                </a:solidFill>
                <a:latin typeface="Arial"/>
                <a:ea typeface="Arial"/>
                <a:cs typeface="Arial"/>
              </a:defRPr>
            </a:pPr>
            <a:endParaRPr lang="en-US"/>
          </a:p>
        </c:txPr>
        <c:crossAx val="121643008"/>
        <c:crosses val="autoZero"/>
        <c:crossBetween val="midCat"/>
        <c:majorUnit val="5"/>
      </c:valAx>
      <c:valAx>
        <c:axId val="121643008"/>
        <c:scaling>
          <c:orientation val="minMax"/>
          <c:min val="10"/>
        </c:scaling>
        <c:delete val="0"/>
        <c:axPos val="l"/>
        <c:majorGridlines>
          <c:spPr>
            <a:ln w="3177">
              <a:solidFill>
                <a:srgbClr val="000000"/>
              </a:solidFill>
              <a:prstDash val="solid"/>
            </a:ln>
          </c:spPr>
        </c:majorGridlines>
        <c:title>
          <c:tx>
            <c:rich>
              <a:bodyPr/>
              <a:lstStyle/>
              <a:p>
                <a:pPr>
                  <a:defRPr sz="1201" b="1" i="0" u="none" strike="noStrike" baseline="0">
                    <a:solidFill>
                      <a:srgbClr val="000000"/>
                    </a:solidFill>
                    <a:latin typeface="Arial"/>
                    <a:ea typeface="Arial"/>
                    <a:cs typeface="Arial"/>
                  </a:defRPr>
                </a:pPr>
                <a:r>
                  <a:t>Temperature (ºC) </a:t>
                </a:r>
              </a:p>
            </c:rich>
          </c:tx>
          <c:layout>
            <c:manualLayout>
              <c:xMode val="edge"/>
              <c:yMode val="edge"/>
              <c:x val="7.104795737122558E-3"/>
              <c:y val="0.34509803921568627"/>
            </c:manualLayout>
          </c:layout>
          <c:overlay val="0"/>
          <c:spPr>
            <a:noFill/>
            <a:ln w="25414">
              <a:noFill/>
            </a:ln>
          </c:spPr>
        </c:title>
        <c:numFmt formatCode="General" sourceLinked="1"/>
        <c:majorTickMark val="out"/>
        <c:minorTickMark val="none"/>
        <c:tickLblPos val="nextTo"/>
        <c:spPr>
          <a:ln w="3177">
            <a:solidFill>
              <a:srgbClr val="000000"/>
            </a:solidFill>
            <a:prstDash val="solid"/>
          </a:ln>
        </c:spPr>
        <c:txPr>
          <a:bodyPr rot="0" vert="horz"/>
          <a:lstStyle/>
          <a:p>
            <a:pPr>
              <a:defRPr sz="1201" b="0" i="0" u="none" strike="noStrike" baseline="0">
                <a:solidFill>
                  <a:srgbClr val="000000"/>
                </a:solidFill>
                <a:latin typeface="Arial"/>
                <a:ea typeface="Arial"/>
                <a:cs typeface="Arial"/>
              </a:defRPr>
            </a:pPr>
            <a:endParaRPr lang="en-US"/>
          </a:p>
        </c:txPr>
        <c:crossAx val="121640832"/>
        <c:crosses val="autoZero"/>
        <c:crossBetween val="midCat"/>
        <c:majorUnit val="1"/>
      </c:valAx>
      <c:spPr>
        <a:solidFill>
          <a:srgbClr val="FFFFFF"/>
        </a:solidFill>
        <a:ln w="12707">
          <a:solidFill>
            <a:srgbClr val="808080"/>
          </a:solidFill>
          <a:prstDash val="solid"/>
        </a:ln>
      </c:spPr>
    </c:plotArea>
    <c:plotVisOnly val="1"/>
    <c:dispBlanksAs val="gap"/>
    <c:showDLblsOverMax val="0"/>
  </c:chart>
  <c:spPr>
    <a:solidFill>
      <a:srgbClr val="FFFFFF"/>
    </a:solidFill>
    <a:ln w="3177">
      <a:solidFill>
        <a:srgbClr val="000000"/>
      </a:solidFill>
      <a:prstDash val="solid"/>
    </a:ln>
  </c:spPr>
  <c:txPr>
    <a:bodyPr/>
    <a:lstStyle/>
    <a:p>
      <a:pPr>
        <a:defRPr sz="1201" b="0" i="0" u="none" strike="noStrike" baseline="0">
          <a:solidFill>
            <a:srgbClr val="000000"/>
          </a:solidFill>
          <a:latin typeface="Arial"/>
          <a:ea typeface="Arial"/>
          <a:cs typeface="Arial"/>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99" b="1" i="0" u="none" strike="noStrike" baseline="0">
                <a:solidFill>
                  <a:srgbClr val="000000"/>
                </a:solidFill>
                <a:latin typeface="Arial"/>
                <a:ea typeface="Arial"/>
                <a:cs typeface="Arial"/>
              </a:defRPr>
            </a:pPr>
            <a:r>
              <a:t>The annual precipitation (mm) Vs the average Sycamore ring widths (mm) between 1972 and 2012</a:t>
            </a:r>
          </a:p>
        </c:rich>
      </c:tx>
      <c:layout>
        <c:manualLayout>
          <c:xMode val="edge"/>
          <c:yMode val="edge"/>
          <c:x val="0.12014123497720679"/>
          <c:y val="1.9390589421355443E-2"/>
        </c:manualLayout>
      </c:layout>
      <c:overlay val="0"/>
      <c:spPr>
        <a:noFill/>
        <a:ln w="25377">
          <a:noFill/>
        </a:ln>
      </c:spPr>
    </c:title>
    <c:autoTitleDeleted val="0"/>
    <c:plotArea>
      <c:layout>
        <c:manualLayout>
          <c:layoutTarget val="inner"/>
          <c:xMode val="edge"/>
          <c:yMode val="edge"/>
          <c:x val="0.10695187165775401"/>
          <c:y val="0.17647058823529413"/>
          <c:w val="0.56506238859180036"/>
          <c:h val="0.66106442577030811"/>
        </c:manualLayout>
      </c:layout>
      <c:barChart>
        <c:barDir val="col"/>
        <c:grouping val="clustered"/>
        <c:varyColors val="0"/>
        <c:ser>
          <c:idx val="1"/>
          <c:order val="0"/>
          <c:tx>
            <c:v>Precipitation (mm)</c:v>
          </c:tx>
          <c:spPr>
            <a:solidFill>
              <a:srgbClr val="3366FF"/>
            </a:solidFill>
            <a:ln w="12689">
              <a:solidFill>
                <a:srgbClr val="3366FF"/>
              </a:solidFill>
              <a:prstDash val="solid"/>
            </a:ln>
          </c:spPr>
          <c:invertIfNegative val="0"/>
          <c:cat>
            <c:numRef>
              <c:f>Sheet1!$A$2:$A$42</c:f>
              <c:numCache>
                <c:formatCode>General</c:formatCode>
                <c:ptCount val="41"/>
                <c:pt idx="0">
                  <c:v>1972</c:v>
                </c:pt>
                <c:pt idx="1">
                  <c:v>1973</c:v>
                </c:pt>
                <c:pt idx="2">
                  <c:v>1974</c:v>
                </c:pt>
                <c:pt idx="3">
                  <c:v>1975</c:v>
                </c:pt>
                <c:pt idx="4">
                  <c:v>1976</c:v>
                </c:pt>
                <c:pt idx="5">
                  <c:v>1977</c:v>
                </c:pt>
                <c:pt idx="6">
                  <c:v>1978</c:v>
                </c:pt>
                <c:pt idx="7">
                  <c:v>1979</c:v>
                </c:pt>
                <c:pt idx="8">
                  <c:v>1980</c:v>
                </c:pt>
                <c:pt idx="9">
                  <c:v>1981</c:v>
                </c:pt>
                <c:pt idx="10">
                  <c:v>1982</c:v>
                </c:pt>
                <c:pt idx="11">
                  <c:v>1983</c:v>
                </c:pt>
                <c:pt idx="12">
                  <c:v>1984</c:v>
                </c:pt>
                <c:pt idx="13">
                  <c:v>1985</c:v>
                </c:pt>
                <c:pt idx="14">
                  <c:v>1986</c:v>
                </c:pt>
                <c:pt idx="15">
                  <c:v>1987</c:v>
                </c:pt>
                <c:pt idx="16">
                  <c:v>1988</c:v>
                </c:pt>
                <c:pt idx="17">
                  <c:v>1989</c:v>
                </c:pt>
                <c:pt idx="18">
                  <c:v>1990</c:v>
                </c:pt>
                <c:pt idx="19">
                  <c:v>1991</c:v>
                </c:pt>
                <c:pt idx="20">
                  <c:v>1992</c:v>
                </c:pt>
                <c:pt idx="21">
                  <c:v>1993</c:v>
                </c:pt>
                <c:pt idx="22">
                  <c:v>1994</c:v>
                </c:pt>
                <c:pt idx="23">
                  <c:v>1995</c:v>
                </c:pt>
                <c:pt idx="24">
                  <c:v>1996</c:v>
                </c:pt>
                <c:pt idx="25">
                  <c:v>1997</c:v>
                </c:pt>
                <c:pt idx="26">
                  <c:v>1998</c:v>
                </c:pt>
                <c:pt idx="27">
                  <c:v>1999</c:v>
                </c:pt>
                <c:pt idx="28">
                  <c:v>2000</c:v>
                </c:pt>
                <c:pt idx="29">
                  <c:v>2001</c:v>
                </c:pt>
                <c:pt idx="30">
                  <c:v>2002</c:v>
                </c:pt>
                <c:pt idx="31">
                  <c:v>2003</c:v>
                </c:pt>
                <c:pt idx="32">
                  <c:v>2004</c:v>
                </c:pt>
                <c:pt idx="33">
                  <c:v>2005</c:v>
                </c:pt>
                <c:pt idx="34">
                  <c:v>2006</c:v>
                </c:pt>
                <c:pt idx="35">
                  <c:v>2007</c:v>
                </c:pt>
                <c:pt idx="36">
                  <c:v>2008</c:v>
                </c:pt>
                <c:pt idx="37">
                  <c:v>2009</c:v>
                </c:pt>
                <c:pt idx="38">
                  <c:v>2010</c:v>
                </c:pt>
                <c:pt idx="39">
                  <c:v>2011</c:v>
                </c:pt>
                <c:pt idx="40">
                  <c:v>2012</c:v>
                </c:pt>
              </c:numCache>
            </c:numRef>
          </c:cat>
          <c:val>
            <c:numRef>
              <c:f>Sheet1!$C$2:$C$42</c:f>
              <c:numCache>
                <c:formatCode>General</c:formatCode>
                <c:ptCount val="41"/>
                <c:pt idx="0">
                  <c:v>1142.5999999999999</c:v>
                </c:pt>
                <c:pt idx="1">
                  <c:v>1108.7</c:v>
                </c:pt>
                <c:pt idx="2">
                  <c:v>1376.3</c:v>
                </c:pt>
                <c:pt idx="3">
                  <c:v>953.62</c:v>
                </c:pt>
                <c:pt idx="4">
                  <c:v>995.1</c:v>
                </c:pt>
                <c:pt idx="5">
                  <c:v>1263.8</c:v>
                </c:pt>
                <c:pt idx="6">
                  <c:v>1173.82</c:v>
                </c:pt>
                <c:pt idx="7">
                  <c:v>1316.5</c:v>
                </c:pt>
                <c:pt idx="8">
                  <c:v>1478.5</c:v>
                </c:pt>
                <c:pt idx="9">
                  <c:v>1578.4</c:v>
                </c:pt>
                <c:pt idx="10">
                  <c:v>1281.7</c:v>
                </c:pt>
                <c:pt idx="11">
                  <c:v>1168.9000000000001</c:v>
                </c:pt>
                <c:pt idx="12">
                  <c:v>1183</c:v>
                </c:pt>
                <c:pt idx="13">
                  <c:v>1097.9000000000001</c:v>
                </c:pt>
                <c:pt idx="14">
                  <c:v>1399.9</c:v>
                </c:pt>
                <c:pt idx="15">
                  <c:v>1179.4000000000001</c:v>
                </c:pt>
                <c:pt idx="16">
                  <c:v>1339.67</c:v>
                </c:pt>
                <c:pt idx="17">
                  <c:v>1043.56</c:v>
                </c:pt>
                <c:pt idx="18">
                  <c:v>1188.54</c:v>
                </c:pt>
                <c:pt idx="19">
                  <c:v>1126.8</c:v>
                </c:pt>
                <c:pt idx="20">
                  <c:v>1332.4</c:v>
                </c:pt>
                <c:pt idx="21">
                  <c:v>1156</c:v>
                </c:pt>
                <c:pt idx="22">
                  <c:v>1278.3499999999999</c:v>
                </c:pt>
                <c:pt idx="23">
                  <c:v>926.86</c:v>
                </c:pt>
                <c:pt idx="24">
                  <c:v>959.5</c:v>
                </c:pt>
                <c:pt idx="25">
                  <c:v>1105.5</c:v>
                </c:pt>
                <c:pt idx="26">
                  <c:v>1395.34</c:v>
                </c:pt>
                <c:pt idx="27">
                  <c:v>1304.2</c:v>
                </c:pt>
                <c:pt idx="28">
                  <c:v>1633.7</c:v>
                </c:pt>
                <c:pt idx="29">
                  <c:v>1282.4000000000001</c:v>
                </c:pt>
                <c:pt idx="30">
                  <c:v>1524.4</c:v>
                </c:pt>
                <c:pt idx="31">
                  <c:v>1021.8</c:v>
                </c:pt>
                <c:pt idx="32">
                  <c:v>1408.8</c:v>
                </c:pt>
                <c:pt idx="33">
                  <c:v>1111.9000000000001</c:v>
                </c:pt>
                <c:pt idx="34">
                  <c:v>1188.94</c:v>
                </c:pt>
                <c:pt idx="35">
                  <c:v>1573.61</c:v>
                </c:pt>
                <c:pt idx="36">
                  <c:v>1513.99</c:v>
                </c:pt>
                <c:pt idx="37">
                  <c:v>1295.53</c:v>
                </c:pt>
                <c:pt idx="38">
                  <c:v>985.66</c:v>
                </c:pt>
                <c:pt idx="39">
                  <c:v>1287.77</c:v>
                </c:pt>
                <c:pt idx="40">
                  <c:v>1656.33</c:v>
                </c:pt>
              </c:numCache>
            </c:numRef>
          </c:val>
        </c:ser>
        <c:dLbls>
          <c:showLegendKey val="0"/>
          <c:showVal val="0"/>
          <c:showCatName val="0"/>
          <c:showSerName val="0"/>
          <c:showPercent val="0"/>
          <c:showBubbleSize val="0"/>
        </c:dLbls>
        <c:gapWidth val="150"/>
        <c:axId val="121539584"/>
        <c:axId val="121541760"/>
      </c:barChart>
      <c:lineChart>
        <c:grouping val="standard"/>
        <c:varyColors val="0"/>
        <c:ser>
          <c:idx val="0"/>
          <c:order val="1"/>
          <c:tx>
            <c:v>Average ring                                 widths (mm)</c:v>
          </c:tx>
          <c:spPr>
            <a:ln w="25377">
              <a:solidFill>
                <a:srgbClr val="FF9900"/>
              </a:solidFill>
              <a:prstDash val="solid"/>
            </a:ln>
          </c:spPr>
          <c:marker>
            <c:symbol val="none"/>
          </c:marker>
          <c:val>
            <c:numRef>
              <c:f>Sheet1!$D$2:$D$42</c:f>
              <c:numCache>
                <c:formatCode>General</c:formatCode>
                <c:ptCount val="41"/>
                <c:pt idx="0">
                  <c:v>1.64</c:v>
                </c:pt>
                <c:pt idx="1">
                  <c:v>1.75</c:v>
                </c:pt>
                <c:pt idx="2">
                  <c:v>1.63</c:v>
                </c:pt>
                <c:pt idx="3">
                  <c:v>1.64</c:v>
                </c:pt>
                <c:pt idx="4">
                  <c:v>1.66</c:v>
                </c:pt>
                <c:pt idx="5">
                  <c:v>1.67</c:v>
                </c:pt>
                <c:pt idx="6">
                  <c:v>1.68</c:v>
                </c:pt>
                <c:pt idx="7">
                  <c:v>1.77</c:v>
                </c:pt>
                <c:pt idx="8">
                  <c:v>1.67</c:v>
                </c:pt>
                <c:pt idx="9">
                  <c:v>1.58</c:v>
                </c:pt>
                <c:pt idx="10">
                  <c:v>1.64</c:v>
                </c:pt>
                <c:pt idx="11">
                  <c:v>1.72</c:v>
                </c:pt>
                <c:pt idx="12">
                  <c:v>1.6</c:v>
                </c:pt>
                <c:pt idx="13">
                  <c:v>1.66</c:v>
                </c:pt>
                <c:pt idx="14">
                  <c:v>1.67</c:v>
                </c:pt>
                <c:pt idx="15">
                  <c:v>1.63</c:v>
                </c:pt>
                <c:pt idx="16">
                  <c:v>1.61</c:v>
                </c:pt>
                <c:pt idx="17">
                  <c:v>1.61</c:v>
                </c:pt>
                <c:pt idx="18">
                  <c:v>1.62</c:v>
                </c:pt>
                <c:pt idx="19">
                  <c:v>1.61</c:v>
                </c:pt>
                <c:pt idx="20">
                  <c:v>1.54</c:v>
                </c:pt>
                <c:pt idx="21">
                  <c:v>1.53</c:v>
                </c:pt>
                <c:pt idx="22">
                  <c:v>1.68</c:v>
                </c:pt>
                <c:pt idx="23">
                  <c:v>1.66</c:v>
                </c:pt>
                <c:pt idx="24">
                  <c:v>1.63</c:v>
                </c:pt>
                <c:pt idx="25">
                  <c:v>1.69</c:v>
                </c:pt>
                <c:pt idx="26">
                  <c:v>1.69</c:v>
                </c:pt>
                <c:pt idx="27">
                  <c:v>1.76</c:v>
                </c:pt>
                <c:pt idx="28">
                  <c:v>1.66</c:v>
                </c:pt>
                <c:pt idx="29">
                  <c:v>1.72</c:v>
                </c:pt>
                <c:pt idx="30">
                  <c:v>1.81</c:v>
                </c:pt>
                <c:pt idx="31">
                  <c:v>1.71</c:v>
                </c:pt>
                <c:pt idx="32">
                  <c:v>1.72</c:v>
                </c:pt>
                <c:pt idx="33">
                  <c:v>1.73</c:v>
                </c:pt>
                <c:pt idx="34">
                  <c:v>1.8</c:v>
                </c:pt>
                <c:pt idx="35">
                  <c:v>1.66</c:v>
                </c:pt>
                <c:pt idx="36">
                  <c:v>1.76</c:v>
                </c:pt>
                <c:pt idx="37">
                  <c:v>1.83</c:v>
                </c:pt>
                <c:pt idx="38">
                  <c:v>1.87</c:v>
                </c:pt>
                <c:pt idx="39">
                  <c:v>1.79</c:v>
                </c:pt>
                <c:pt idx="40">
                  <c:v>1.71</c:v>
                </c:pt>
              </c:numCache>
            </c:numRef>
          </c:val>
          <c:smooth val="0"/>
        </c:ser>
        <c:dLbls>
          <c:showLegendKey val="0"/>
          <c:showVal val="0"/>
          <c:showCatName val="0"/>
          <c:showSerName val="0"/>
          <c:showPercent val="0"/>
          <c:showBubbleSize val="0"/>
        </c:dLbls>
        <c:marker val="1"/>
        <c:smooth val="0"/>
        <c:axId val="121543680"/>
        <c:axId val="121545472"/>
      </c:lineChart>
      <c:catAx>
        <c:axId val="121539584"/>
        <c:scaling>
          <c:orientation val="minMax"/>
        </c:scaling>
        <c:delete val="0"/>
        <c:axPos val="b"/>
        <c:title>
          <c:tx>
            <c:rich>
              <a:bodyPr/>
              <a:lstStyle/>
              <a:p>
                <a:pPr>
                  <a:defRPr sz="1049" b="1" i="0" u="none" strike="noStrike" baseline="0">
                    <a:solidFill>
                      <a:srgbClr val="000000"/>
                    </a:solidFill>
                    <a:latin typeface="Arial"/>
                    <a:ea typeface="Arial"/>
                    <a:cs typeface="Arial"/>
                  </a:defRPr>
                </a:pPr>
                <a:r>
                  <a:t>Year</a:t>
                </a:r>
              </a:p>
            </c:rich>
          </c:tx>
          <c:layout>
            <c:manualLayout>
              <c:xMode val="edge"/>
              <c:yMode val="edge"/>
              <c:x val="0.35689039922641252"/>
              <c:y val="0.90581703777094091"/>
            </c:manualLayout>
          </c:layout>
          <c:overlay val="0"/>
          <c:spPr>
            <a:noFill/>
            <a:ln w="25377">
              <a:noFill/>
            </a:ln>
          </c:spPr>
        </c:title>
        <c:numFmt formatCode="General" sourceLinked="1"/>
        <c:majorTickMark val="cross"/>
        <c:minorTickMark val="none"/>
        <c:tickLblPos val="nextTo"/>
        <c:spPr>
          <a:ln w="3172">
            <a:solidFill>
              <a:srgbClr val="000000"/>
            </a:solidFill>
            <a:prstDash val="solid"/>
          </a:ln>
        </c:spPr>
        <c:txPr>
          <a:bodyPr rot="0" vert="horz"/>
          <a:lstStyle/>
          <a:p>
            <a:pPr>
              <a:defRPr sz="999" b="0" i="0" u="none" strike="noStrike" baseline="0">
                <a:solidFill>
                  <a:srgbClr val="000000"/>
                </a:solidFill>
                <a:latin typeface="Arial"/>
                <a:ea typeface="Arial"/>
                <a:cs typeface="Arial"/>
              </a:defRPr>
            </a:pPr>
            <a:endParaRPr lang="en-US"/>
          </a:p>
        </c:txPr>
        <c:crossAx val="121541760"/>
        <c:crosses val="autoZero"/>
        <c:auto val="0"/>
        <c:lblAlgn val="ctr"/>
        <c:lblOffset val="100"/>
        <c:tickLblSkip val="5"/>
        <c:tickMarkSkip val="1"/>
        <c:noMultiLvlLbl val="0"/>
      </c:catAx>
      <c:valAx>
        <c:axId val="121541760"/>
        <c:scaling>
          <c:orientation val="minMax"/>
        </c:scaling>
        <c:delete val="0"/>
        <c:axPos val="l"/>
        <c:title>
          <c:tx>
            <c:rich>
              <a:bodyPr/>
              <a:lstStyle/>
              <a:p>
                <a:pPr>
                  <a:defRPr sz="1049" b="1" i="0" u="none" strike="noStrike" baseline="0">
                    <a:solidFill>
                      <a:srgbClr val="000000"/>
                    </a:solidFill>
                    <a:latin typeface="Arial"/>
                    <a:ea typeface="Arial"/>
                    <a:cs typeface="Arial"/>
                  </a:defRPr>
                </a:pPr>
                <a:r>
                  <a:t>Precipitation (mm)</a:t>
                </a:r>
              </a:p>
            </c:rich>
          </c:tx>
          <c:layout>
            <c:manualLayout>
              <c:xMode val="edge"/>
              <c:yMode val="edge"/>
              <c:x val="0"/>
              <c:y val="0.32773109243697479"/>
            </c:manualLayout>
          </c:layout>
          <c:overlay val="0"/>
          <c:spPr>
            <a:noFill/>
            <a:ln w="25377">
              <a:noFill/>
            </a:ln>
          </c:spPr>
        </c:title>
        <c:numFmt formatCode="General" sourceLinked="1"/>
        <c:majorTickMark val="cross"/>
        <c:minorTickMark val="none"/>
        <c:tickLblPos val="nextTo"/>
        <c:spPr>
          <a:ln w="3172">
            <a:solidFill>
              <a:srgbClr val="000000"/>
            </a:solidFill>
            <a:prstDash val="solid"/>
          </a:ln>
        </c:spPr>
        <c:txPr>
          <a:bodyPr rot="0" vert="horz"/>
          <a:lstStyle/>
          <a:p>
            <a:pPr>
              <a:defRPr sz="999" b="0" i="0" u="none" strike="noStrike" baseline="0">
                <a:solidFill>
                  <a:srgbClr val="000000"/>
                </a:solidFill>
                <a:latin typeface="Arial"/>
                <a:ea typeface="Arial"/>
                <a:cs typeface="Arial"/>
              </a:defRPr>
            </a:pPr>
            <a:endParaRPr lang="en-US"/>
          </a:p>
        </c:txPr>
        <c:crossAx val="121539584"/>
        <c:crosses val="autoZero"/>
        <c:crossBetween val="between"/>
      </c:valAx>
      <c:catAx>
        <c:axId val="121543680"/>
        <c:scaling>
          <c:orientation val="minMax"/>
        </c:scaling>
        <c:delete val="1"/>
        <c:axPos val="b"/>
        <c:majorTickMark val="out"/>
        <c:minorTickMark val="none"/>
        <c:tickLblPos val="nextTo"/>
        <c:crossAx val="121545472"/>
        <c:crosses val="autoZero"/>
        <c:auto val="0"/>
        <c:lblAlgn val="ctr"/>
        <c:lblOffset val="100"/>
        <c:noMultiLvlLbl val="0"/>
      </c:catAx>
      <c:valAx>
        <c:axId val="121545472"/>
        <c:scaling>
          <c:orientation val="minMax"/>
        </c:scaling>
        <c:delete val="0"/>
        <c:axPos val="r"/>
        <c:title>
          <c:tx>
            <c:rich>
              <a:bodyPr/>
              <a:lstStyle/>
              <a:p>
                <a:pPr>
                  <a:defRPr sz="1049" b="1" i="0" u="none" strike="noStrike" baseline="0">
                    <a:solidFill>
                      <a:srgbClr val="000000"/>
                    </a:solidFill>
                    <a:latin typeface="Arial"/>
                    <a:ea typeface="Arial"/>
                    <a:cs typeface="Arial"/>
                  </a:defRPr>
                </a:pPr>
                <a:r>
                  <a:t>Average Sycamore ring widths (mm)</a:t>
                </a:r>
              </a:p>
            </c:rich>
          </c:tx>
          <c:layout>
            <c:manualLayout>
              <c:xMode val="edge"/>
              <c:yMode val="edge"/>
              <c:x val="0.72370766488413552"/>
              <c:y val="0.29971988795518206"/>
            </c:manualLayout>
          </c:layout>
          <c:overlay val="0"/>
          <c:spPr>
            <a:noFill/>
            <a:ln w="25377">
              <a:noFill/>
            </a:ln>
          </c:spPr>
        </c:title>
        <c:numFmt formatCode="General" sourceLinked="1"/>
        <c:majorTickMark val="cross"/>
        <c:minorTickMark val="none"/>
        <c:tickLblPos val="nextTo"/>
        <c:spPr>
          <a:ln w="3172">
            <a:solidFill>
              <a:srgbClr val="000000"/>
            </a:solidFill>
            <a:prstDash val="solid"/>
          </a:ln>
        </c:spPr>
        <c:txPr>
          <a:bodyPr rot="0" vert="horz"/>
          <a:lstStyle/>
          <a:p>
            <a:pPr>
              <a:defRPr sz="999" b="0" i="0" u="none" strike="noStrike" baseline="0">
                <a:solidFill>
                  <a:srgbClr val="000000"/>
                </a:solidFill>
                <a:latin typeface="Arial"/>
                <a:ea typeface="Arial"/>
                <a:cs typeface="Arial"/>
              </a:defRPr>
            </a:pPr>
            <a:endParaRPr lang="en-US"/>
          </a:p>
        </c:txPr>
        <c:crossAx val="121543680"/>
        <c:crosses val="max"/>
        <c:crossBetween val="between"/>
      </c:valAx>
      <c:spPr>
        <a:solidFill>
          <a:srgbClr val="FFFFFF"/>
        </a:solidFill>
        <a:ln w="12689">
          <a:solidFill>
            <a:srgbClr val="808080"/>
          </a:solidFill>
          <a:prstDash val="solid"/>
        </a:ln>
      </c:spPr>
    </c:plotArea>
    <c:legend>
      <c:legendPos val="r"/>
      <c:layout>
        <c:manualLayout>
          <c:xMode val="edge"/>
          <c:yMode val="edge"/>
          <c:x val="0.79679144385026734"/>
          <c:y val="0.40896358543417366"/>
          <c:w val="0.19251336898395721"/>
          <c:h val="0.17927170868347339"/>
        </c:manualLayout>
      </c:layout>
      <c:overlay val="0"/>
      <c:spPr>
        <a:solidFill>
          <a:srgbClr val="FFFFFF"/>
        </a:solidFill>
        <a:ln w="3172">
          <a:solidFill>
            <a:srgbClr val="000000"/>
          </a:solidFill>
          <a:prstDash val="solid"/>
        </a:ln>
      </c:spPr>
      <c:txPr>
        <a:bodyPr/>
        <a:lstStyle/>
        <a:p>
          <a:pPr>
            <a:defRPr sz="919" b="0" i="0" u="none" strike="noStrike" baseline="0">
              <a:solidFill>
                <a:srgbClr val="000000"/>
              </a:solidFill>
              <a:latin typeface="Arial"/>
              <a:ea typeface="Arial"/>
              <a:cs typeface="Arial"/>
            </a:defRPr>
          </a:pPr>
          <a:endParaRPr lang="en-US"/>
        </a:p>
      </c:txPr>
    </c:legend>
    <c:plotVisOnly val="1"/>
    <c:dispBlanksAs val="gap"/>
    <c:showDLblsOverMax val="0"/>
  </c:chart>
  <c:spPr>
    <a:solidFill>
      <a:srgbClr val="FFFFFF"/>
    </a:solidFill>
    <a:ln w="3172">
      <a:solidFill>
        <a:srgbClr val="000000"/>
      </a:solidFill>
      <a:prstDash val="solid"/>
    </a:ln>
  </c:spPr>
  <c:txPr>
    <a:bodyPr/>
    <a:lstStyle/>
    <a:p>
      <a:pPr>
        <a:defRPr sz="999" b="0" i="0" u="none" strike="noStrike" baseline="0">
          <a:solidFill>
            <a:srgbClr val="000000"/>
          </a:solidFill>
          <a:latin typeface="Arial"/>
          <a:ea typeface="Arial"/>
          <a:cs typeface="Arial"/>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99" b="1" i="0" u="none" strike="noStrike" baseline="0">
                <a:solidFill>
                  <a:srgbClr val="000000"/>
                </a:solidFill>
                <a:latin typeface="Arial"/>
                <a:ea typeface="Arial"/>
                <a:cs typeface="Arial"/>
              </a:defRPr>
            </a:pPr>
            <a:r>
              <a:t>The annual precipitation (mm) Vs the average Beech ring width (mm) between 1972 and 2012</a:t>
            </a:r>
          </a:p>
        </c:rich>
      </c:tx>
      <c:layout>
        <c:manualLayout>
          <c:xMode val="edge"/>
          <c:yMode val="edge"/>
          <c:x val="0.10070671378091872"/>
          <c:y val="2.0527859237536656E-2"/>
        </c:manualLayout>
      </c:layout>
      <c:overlay val="0"/>
      <c:spPr>
        <a:noFill/>
        <a:ln w="25373">
          <a:noFill/>
        </a:ln>
      </c:spPr>
    </c:title>
    <c:autoTitleDeleted val="0"/>
    <c:plotArea>
      <c:layout>
        <c:manualLayout>
          <c:layoutTarget val="inner"/>
          <c:xMode val="edge"/>
          <c:yMode val="edge"/>
          <c:x val="0.11130742049469965"/>
          <c:y val="0.24926686217008798"/>
          <c:w val="0.56183745583038869"/>
          <c:h val="0.56304985337243407"/>
        </c:manualLayout>
      </c:layout>
      <c:barChart>
        <c:barDir val="col"/>
        <c:grouping val="clustered"/>
        <c:varyColors val="0"/>
        <c:ser>
          <c:idx val="1"/>
          <c:order val="0"/>
          <c:tx>
            <c:v>Precipitation (mm)</c:v>
          </c:tx>
          <c:spPr>
            <a:solidFill>
              <a:srgbClr val="3366FF"/>
            </a:solidFill>
            <a:ln w="12686">
              <a:solidFill>
                <a:srgbClr val="3366FF"/>
              </a:solidFill>
              <a:prstDash val="solid"/>
            </a:ln>
          </c:spPr>
          <c:invertIfNegative val="0"/>
          <c:cat>
            <c:numRef>
              <c:f>Sheet1!$A$2:$A$42</c:f>
              <c:numCache>
                <c:formatCode>General</c:formatCode>
                <c:ptCount val="41"/>
                <c:pt idx="0">
                  <c:v>1972</c:v>
                </c:pt>
                <c:pt idx="1">
                  <c:v>1973</c:v>
                </c:pt>
                <c:pt idx="2">
                  <c:v>1974</c:v>
                </c:pt>
                <c:pt idx="3">
                  <c:v>1975</c:v>
                </c:pt>
                <c:pt idx="4">
                  <c:v>1976</c:v>
                </c:pt>
                <c:pt idx="5">
                  <c:v>1977</c:v>
                </c:pt>
                <c:pt idx="6">
                  <c:v>1978</c:v>
                </c:pt>
                <c:pt idx="7">
                  <c:v>1979</c:v>
                </c:pt>
                <c:pt idx="8">
                  <c:v>1980</c:v>
                </c:pt>
                <c:pt idx="9">
                  <c:v>1981</c:v>
                </c:pt>
                <c:pt idx="10">
                  <c:v>1982</c:v>
                </c:pt>
                <c:pt idx="11">
                  <c:v>1983</c:v>
                </c:pt>
                <c:pt idx="12">
                  <c:v>1984</c:v>
                </c:pt>
                <c:pt idx="13">
                  <c:v>1985</c:v>
                </c:pt>
                <c:pt idx="14">
                  <c:v>1986</c:v>
                </c:pt>
                <c:pt idx="15">
                  <c:v>1987</c:v>
                </c:pt>
                <c:pt idx="16">
                  <c:v>1988</c:v>
                </c:pt>
                <c:pt idx="17">
                  <c:v>1989</c:v>
                </c:pt>
                <c:pt idx="18">
                  <c:v>1990</c:v>
                </c:pt>
                <c:pt idx="19">
                  <c:v>1991</c:v>
                </c:pt>
                <c:pt idx="20">
                  <c:v>1992</c:v>
                </c:pt>
                <c:pt idx="21">
                  <c:v>1993</c:v>
                </c:pt>
                <c:pt idx="22">
                  <c:v>1994</c:v>
                </c:pt>
                <c:pt idx="23">
                  <c:v>1995</c:v>
                </c:pt>
                <c:pt idx="24">
                  <c:v>1996</c:v>
                </c:pt>
                <c:pt idx="25">
                  <c:v>1997</c:v>
                </c:pt>
                <c:pt idx="26">
                  <c:v>1998</c:v>
                </c:pt>
                <c:pt idx="27">
                  <c:v>1999</c:v>
                </c:pt>
                <c:pt idx="28">
                  <c:v>2000</c:v>
                </c:pt>
                <c:pt idx="29">
                  <c:v>2001</c:v>
                </c:pt>
                <c:pt idx="30">
                  <c:v>2002</c:v>
                </c:pt>
                <c:pt idx="31">
                  <c:v>2003</c:v>
                </c:pt>
                <c:pt idx="32">
                  <c:v>2004</c:v>
                </c:pt>
                <c:pt idx="33">
                  <c:v>2005</c:v>
                </c:pt>
                <c:pt idx="34">
                  <c:v>2006</c:v>
                </c:pt>
                <c:pt idx="35">
                  <c:v>2007</c:v>
                </c:pt>
                <c:pt idx="36">
                  <c:v>2008</c:v>
                </c:pt>
                <c:pt idx="37">
                  <c:v>2009</c:v>
                </c:pt>
                <c:pt idx="38">
                  <c:v>2010</c:v>
                </c:pt>
                <c:pt idx="39">
                  <c:v>2011</c:v>
                </c:pt>
                <c:pt idx="40">
                  <c:v>2012</c:v>
                </c:pt>
              </c:numCache>
            </c:numRef>
          </c:cat>
          <c:val>
            <c:numRef>
              <c:f>Sheet1!$C$2:$C$42</c:f>
              <c:numCache>
                <c:formatCode>General</c:formatCode>
                <c:ptCount val="41"/>
                <c:pt idx="0">
                  <c:v>1142.5999999999999</c:v>
                </c:pt>
                <c:pt idx="1">
                  <c:v>1108.7</c:v>
                </c:pt>
                <c:pt idx="2">
                  <c:v>1376.3</c:v>
                </c:pt>
                <c:pt idx="3">
                  <c:v>953.62</c:v>
                </c:pt>
                <c:pt idx="4">
                  <c:v>995.1</c:v>
                </c:pt>
                <c:pt idx="5">
                  <c:v>1263.8</c:v>
                </c:pt>
                <c:pt idx="6">
                  <c:v>1173.82</c:v>
                </c:pt>
                <c:pt idx="7">
                  <c:v>1316.5</c:v>
                </c:pt>
                <c:pt idx="8">
                  <c:v>1478.5</c:v>
                </c:pt>
                <c:pt idx="9">
                  <c:v>1578.4</c:v>
                </c:pt>
                <c:pt idx="10">
                  <c:v>1281.7</c:v>
                </c:pt>
                <c:pt idx="11">
                  <c:v>1168.9000000000001</c:v>
                </c:pt>
                <c:pt idx="12">
                  <c:v>1183</c:v>
                </c:pt>
                <c:pt idx="13">
                  <c:v>1097.9000000000001</c:v>
                </c:pt>
                <c:pt idx="14">
                  <c:v>1399.9</c:v>
                </c:pt>
                <c:pt idx="15">
                  <c:v>1179.4000000000001</c:v>
                </c:pt>
                <c:pt idx="16">
                  <c:v>1339.67</c:v>
                </c:pt>
                <c:pt idx="17">
                  <c:v>1043.56</c:v>
                </c:pt>
                <c:pt idx="18">
                  <c:v>1188.54</c:v>
                </c:pt>
                <c:pt idx="19">
                  <c:v>1126.8</c:v>
                </c:pt>
                <c:pt idx="20">
                  <c:v>1332.4</c:v>
                </c:pt>
                <c:pt idx="21">
                  <c:v>1156</c:v>
                </c:pt>
                <c:pt idx="22">
                  <c:v>1278.3499999999999</c:v>
                </c:pt>
                <c:pt idx="23">
                  <c:v>926.86</c:v>
                </c:pt>
                <c:pt idx="24">
                  <c:v>959.5</c:v>
                </c:pt>
                <c:pt idx="25">
                  <c:v>1105.5</c:v>
                </c:pt>
                <c:pt idx="26">
                  <c:v>1395.34</c:v>
                </c:pt>
                <c:pt idx="27">
                  <c:v>1304.2</c:v>
                </c:pt>
                <c:pt idx="28">
                  <c:v>1633.7</c:v>
                </c:pt>
                <c:pt idx="29">
                  <c:v>1282.4000000000001</c:v>
                </c:pt>
                <c:pt idx="30">
                  <c:v>1524.4</c:v>
                </c:pt>
                <c:pt idx="31">
                  <c:v>1021.8</c:v>
                </c:pt>
                <c:pt idx="32">
                  <c:v>1408.8</c:v>
                </c:pt>
                <c:pt idx="33">
                  <c:v>1111.9000000000001</c:v>
                </c:pt>
                <c:pt idx="34">
                  <c:v>1188.94</c:v>
                </c:pt>
                <c:pt idx="35">
                  <c:v>1573.61</c:v>
                </c:pt>
                <c:pt idx="36">
                  <c:v>1513.99</c:v>
                </c:pt>
                <c:pt idx="37">
                  <c:v>1295.53</c:v>
                </c:pt>
                <c:pt idx="38">
                  <c:v>985.66</c:v>
                </c:pt>
                <c:pt idx="39">
                  <c:v>1287.77</c:v>
                </c:pt>
                <c:pt idx="40">
                  <c:v>1656.33</c:v>
                </c:pt>
              </c:numCache>
            </c:numRef>
          </c:val>
        </c:ser>
        <c:dLbls>
          <c:showLegendKey val="0"/>
          <c:showVal val="0"/>
          <c:showCatName val="0"/>
          <c:showSerName val="0"/>
          <c:showPercent val="0"/>
          <c:showBubbleSize val="0"/>
        </c:dLbls>
        <c:gapWidth val="150"/>
        <c:axId val="111445888"/>
        <c:axId val="111452160"/>
      </c:barChart>
      <c:lineChart>
        <c:grouping val="standard"/>
        <c:varyColors val="0"/>
        <c:ser>
          <c:idx val="0"/>
          <c:order val="1"/>
          <c:tx>
            <c:v>Average ring              widths (mm)</c:v>
          </c:tx>
          <c:spPr>
            <a:ln w="25373">
              <a:solidFill>
                <a:srgbClr val="00CCFF"/>
              </a:solidFill>
              <a:prstDash val="solid"/>
            </a:ln>
          </c:spPr>
          <c:marker>
            <c:symbol val="none"/>
          </c:marker>
          <c:val>
            <c:numRef>
              <c:f>Sheet1!$D$2:$D$42</c:f>
              <c:numCache>
                <c:formatCode>General</c:formatCode>
                <c:ptCount val="41"/>
                <c:pt idx="0">
                  <c:v>2.0499999999999998</c:v>
                </c:pt>
                <c:pt idx="1">
                  <c:v>2.39</c:v>
                </c:pt>
                <c:pt idx="2">
                  <c:v>2.1800000000000002</c:v>
                </c:pt>
                <c:pt idx="3">
                  <c:v>2.2200000000000002</c:v>
                </c:pt>
                <c:pt idx="4">
                  <c:v>2.0699999999999998</c:v>
                </c:pt>
                <c:pt idx="5">
                  <c:v>2.16</c:v>
                </c:pt>
                <c:pt idx="6">
                  <c:v>2.2200000000000002</c:v>
                </c:pt>
                <c:pt idx="7">
                  <c:v>2.12</c:v>
                </c:pt>
                <c:pt idx="8">
                  <c:v>2.14</c:v>
                </c:pt>
                <c:pt idx="9">
                  <c:v>1.95</c:v>
                </c:pt>
                <c:pt idx="10">
                  <c:v>2.08</c:v>
                </c:pt>
                <c:pt idx="11">
                  <c:v>2.09</c:v>
                </c:pt>
                <c:pt idx="12">
                  <c:v>1.97</c:v>
                </c:pt>
                <c:pt idx="13">
                  <c:v>2.15</c:v>
                </c:pt>
                <c:pt idx="14">
                  <c:v>2.17</c:v>
                </c:pt>
                <c:pt idx="15">
                  <c:v>2.08</c:v>
                </c:pt>
                <c:pt idx="16">
                  <c:v>2.0299999999999998</c:v>
                </c:pt>
                <c:pt idx="17">
                  <c:v>2.04</c:v>
                </c:pt>
                <c:pt idx="18">
                  <c:v>2.11</c:v>
                </c:pt>
                <c:pt idx="19">
                  <c:v>2.15</c:v>
                </c:pt>
                <c:pt idx="20">
                  <c:v>2.09</c:v>
                </c:pt>
                <c:pt idx="21">
                  <c:v>2.0499999999999998</c:v>
                </c:pt>
                <c:pt idx="22">
                  <c:v>2.06</c:v>
                </c:pt>
                <c:pt idx="23">
                  <c:v>2.0499999999999998</c:v>
                </c:pt>
                <c:pt idx="24">
                  <c:v>2.06</c:v>
                </c:pt>
                <c:pt idx="25">
                  <c:v>2.08</c:v>
                </c:pt>
                <c:pt idx="26">
                  <c:v>2.1</c:v>
                </c:pt>
                <c:pt idx="27">
                  <c:v>2.1</c:v>
                </c:pt>
                <c:pt idx="28">
                  <c:v>2.06</c:v>
                </c:pt>
                <c:pt idx="29">
                  <c:v>2.19</c:v>
                </c:pt>
                <c:pt idx="30">
                  <c:v>2.1800000000000002</c:v>
                </c:pt>
                <c:pt idx="31">
                  <c:v>2.11</c:v>
                </c:pt>
                <c:pt idx="32">
                  <c:v>2.2799999999999998</c:v>
                </c:pt>
                <c:pt idx="33">
                  <c:v>2.13</c:v>
                </c:pt>
                <c:pt idx="34">
                  <c:v>2.11</c:v>
                </c:pt>
                <c:pt idx="35">
                  <c:v>2.0699999999999998</c:v>
                </c:pt>
                <c:pt idx="36">
                  <c:v>2.06</c:v>
                </c:pt>
                <c:pt idx="37">
                  <c:v>2.08</c:v>
                </c:pt>
                <c:pt idx="38">
                  <c:v>2.04</c:v>
                </c:pt>
                <c:pt idx="39">
                  <c:v>1.99</c:v>
                </c:pt>
                <c:pt idx="40">
                  <c:v>1.94</c:v>
                </c:pt>
              </c:numCache>
            </c:numRef>
          </c:val>
          <c:smooth val="0"/>
        </c:ser>
        <c:dLbls>
          <c:showLegendKey val="0"/>
          <c:showVal val="0"/>
          <c:showCatName val="0"/>
          <c:showSerName val="0"/>
          <c:showPercent val="0"/>
          <c:showBubbleSize val="0"/>
        </c:dLbls>
        <c:marker val="1"/>
        <c:smooth val="0"/>
        <c:axId val="111454080"/>
        <c:axId val="111455616"/>
      </c:lineChart>
      <c:catAx>
        <c:axId val="111445888"/>
        <c:scaling>
          <c:orientation val="minMax"/>
        </c:scaling>
        <c:delete val="0"/>
        <c:axPos val="b"/>
        <c:title>
          <c:tx>
            <c:rich>
              <a:bodyPr/>
              <a:lstStyle/>
              <a:p>
                <a:pPr>
                  <a:defRPr sz="1049" b="1" i="0" u="none" strike="noStrike" baseline="0">
                    <a:solidFill>
                      <a:srgbClr val="000000"/>
                    </a:solidFill>
                    <a:latin typeface="Arial"/>
                    <a:ea typeface="Arial"/>
                    <a:cs typeface="Arial"/>
                  </a:defRPr>
                </a:pPr>
                <a:r>
                  <a:t>Year</a:t>
                </a:r>
              </a:p>
            </c:rich>
          </c:tx>
          <c:layout>
            <c:manualLayout>
              <c:xMode val="edge"/>
              <c:yMode val="edge"/>
              <c:x val="0.35865724381625441"/>
              <c:y val="0.90029325513196479"/>
            </c:manualLayout>
          </c:layout>
          <c:overlay val="0"/>
          <c:spPr>
            <a:noFill/>
            <a:ln w="25373">
              <a:noFill/>
            </a:ln>
          </c:spPr>
        </c:title>
        <c:numFmt formatCode="General" sourceLinked="1"/>
        <c:majorTickMark val="cross"/>
        <c:minorTickMark val="none"/>
        <c:tickLblPos val="nextTo"/>
        <c:spPr>
          <a:ln w="3172">
            <a:solidFill>
              <a:srgbClr val="000000"/>
            </a:solidFill>
            <a:prstDash val="solid"/>
          </a:ln>
        </c:spPr>
        <c:txPr>
          <a:bodyPr rot="0" vert="horz"/>
          <a:lstStyle/>
          <a:p>
            <a:pPr>
              <a:defRPr sz="999" b="0" i="0" u="none" strike="noStrike" baseline="0">
                <a:solidFill>
                  <a:srgbClr val="000000"/>
                </a:solidFill>
                <a:latin typeface="Arial"/>
                <a:ea typeface="Arial"/>
                <a:cs typeface="Arial"/>
              </a:defRPr>
            </a:pPr>
            <a:endParaRPr lang="en-US"/>
          </a:p>
        </c:txPr>
        <c:crossAx val="111452160"/>
        <c:crosses val="autoZero"/>
        <c:auto val="0"/>
        <c:lblAlgn val="ctr"/>
        <c:lblOffset val="100"/>
        <c:tickLblSkip val="5"/>
        <c:tickMarkSkip val="1"/>
        <c:noMultiLvlLbl val="0"/>
      </c:catAx>
      <c:valAx>
        <c:axId val="111452160"/>
        <c:scaling>
          <c:orientation val="minMax"/>
        </c:scaling>
        <c:delete val="0"/>
        <c:axPos val="l"/>
        <c:title>
          <c:tx>
            <c:rich>
              <a:bodyPr/>
              <a:lstStyle/>
              <a:p>
                <a:pPr>
                  <a:defRPr sz="1049" b="1" i="0" u="none" strike="noStrike" baseline="0">
                    <a:solidFill>
                      <a:srgbClr val="000000"/>
                    </a:solidFill>
                    <a:latin typeface="Arial"/>
                    <a:ea typeface="Arial"/>
                    <a:cs typeface="Arial"/>
                  </a:defRPr>
                </a:pPr>
                <a:r>
                  <a:t>Precipitation (mm)</a:t>
                </a:r>
              </a:p>
            </c:rich>
          </c:tx>
          <c:layout>
            <c:manualLayout>
              <c:xMode val="edge"/>
              <c:yMode val="edge"/>
              <c:x val="0"/>
              <c:y val="0.33431085043988268"/>
            </c:manualLayout>
          </c:layout>
          <c:overlay val="0"/>
          <c:spPr>
            <a:noFill/>
            <a:ln w="25373">
              <a:noFill/>
            </a:ln>
          </c:spPr>
        </c:title>
        <c:numFmt formatCode="General" sourceLinked="1"/>
        <c:majorTickMark val="cross"/>
        <c:minorTickMark val="none"/>
        <c:tickLblPos val="nextTo"/>
        <c:spPr>
          <a:ln w="3172">
            <a:solidFill>
              <a:srgbClr val="000000"/>
            </a:solidFill>
            <a:prstDash val="solid"/>
          </a:ln>
        </c:spPr>
        <c:txPr>
          <a:bodyPr rot="0" vert="horz"/>
          <a:lstStyle/>
          <a:p>
            <a:pPr>
              <a:defRPr sz="999" b="0" i="0" u="none" strike="noStrike" baseline="0">
                <a:solidFill>
                  <a:srgbClr val="000000"/>
                </a:solidFill>
                <a:latin typeface="Arial"/>
                <a:ea typeface="Arial"/>
                <a:cs typeface="Arial"/>
              </a:defRPr>
            </a:pPr>
            <a:endParaRPr lang="en-US"/>
          </a:p>
        </c:txPr>
        <c:crossAx val="111445888"/>
        <c:crosses val="autoZero"/>
        <c:crossBetween val="between"/>
      </c:valAx>
      <c:catAx>
        <c:axId val="111454080"/>
        <c:scaling>
          <c:orientation val="minMax"/>
        </c:scaling>
        <c:delete val="1"/>
        <c:axPos val="b"/>
        <c:majorTickMark val="out"/>
        <c:minorTickMark val="none"/>
        <c:tickLblPos val="nextTo"/>
        <c:crossAx val="111455616"/>
        <c:crosses val="autoZero"/>
        <c:auto val="0"/>
        <c:lblAlgn val="ctr"/>
        <c:lblOffset val="100"/>
        <c:noMultiLvlLbl val="0"/>
      </c:catAx>
      <c:valAx>
        <c:axId val="111455616"/>
        <c:scaling>
          <c:orientation val="minMax"/>
        </c:scaling>
        <c:delete val="0"/>
        <c:axPos val="r"/>
        <c:title>
          <c:tx>
            <c:rich>
              <a:bodyPr/>
              <a:lstStyle/>
              <a:p>
                <a:pPr>
                  <a:defRPr sz="1049" b="1" i="0" u="none" strike="noStrike" baseline="0">
                    <a:solidFill>
                      <a:srgbClr val="000000"/>
                    </a:solidFill>
                    <a:latin typeface="Arial"/>
                    <a:ea typeface="Arial"/>
                    <a:cs typeface="Arial"/>
                  </a:defRPr>
                </a:pPr>
                <a:r>
                  <a:t>Average Beech ring widths (mm)</a:t>
                </a:r>
              </a:p>
            </c:rich>
          </c:tx>
          <c:layout>
            <c:manualLayout>
              <c:xMode val="edge"/>
              <c:yMode val="edge"/>
              <c:x val="0.72261484098939932"/>
              <c:y val="0.31378299120234604"/>
            </c:manualLayout>
          </c:layout>
          <c:overlay val="0"/>
          <c:spPr>
            <a:noFill/>
            <a:ln w="25373">
              <a:noFill/>
            </a:ln>
          </c:spPr>
        </c:title>
        <c:numFmt formatCode="General" sourceLinked="1"/>
        <c:majorTickMark val="cross"/>
        <c:minorTickMark val="none"/>
        <c:tickLblPos val="nextTo"/>
        <c:spPr>
          <a:ln w="3172">
            <a:solidFill>
              <a:srgbClr val="000000"/>
            </a:solidFill>
            <a:prstDash val="solid"/>
          </a:ln>
        </c:spPr>
        <c:txPr>
          <a:bodyPr rot="0" vert="horz"/>
          <a:lstStyle/>
          <a:p>
            <a:pPr>
              <a:defRPr sz="999" b="0" i="0" u="none" strike="noStrike" baseline="0">
                <a:solidFill>
                  <a:srgbClr val="000000"/>
                </a:solidFill>
                <a:latin typeface="Arial"/>
                <a:ea typeface="Arial"/>
                <a:cs typeface="Arial"/>
              </a:defRPr>
            </a:pPr>
            <a:endParaRPr lang="en-US"/>
          </a:p>
        </c:txPr>
        <c:crossAx val="111454080"/>
        <c:crosses val="max"/>
        <c:crossBetween val="between"/>
      </c:valAx>
      <c:spPr>
        <a:solidFill>
          <a:srgbClr val="FFFFFF"/>
        </a:solidFill>
        <a:ln w="12686">
          <a:solidFill>
            <a:srgbClr val="808080"/>
          </a:solidFill>
          <a:prstDash val="solid"/>
        </a:ln>
      </c:spPr>
    </c:plotArea>
    <c:legend>
      <c:legendPos val="r"/>
      <c:layout>
        <c:manualLayout>
          <c:xMode val="edge"/>
          <c:yMode val="edge"/>
          <c:x val="0.79505300353356889"/>
          <c:y val="0.42521994134897362"/>
          <c:w val="0.196113074204947"/>
          <c:h val="0.22287390029325513"/>
        </c:manualLayout>
      </c:layout>
      <c:overlay val="0"/>
      <c:spPr>
        <a:solidFill>
          <a:srgbClr val="FFFFFF"/>
        </a:solidFill>
        <a:ln w="3172">
          <a:solidFill>
            <a:srgbClr val="000000"/>
          </a:solidFill>
          <a:prstDash val="solid"/>
        </a:ln>
      </c:spPr>
      <c:txPr>
        <a:bodyPr/>
        <a:lstStyle/>
        <a:p>
          <a:pPr>
            <a:defRPr sz="919" b="0" i="0" u="none" strike="noStrike" baseline="0">
              <a:solidFill>
                <a:srgbClr val="000000"/>
              </a:solidFill>
              <a:latin typeface="Arial"/>
              <a:ea typeface="Arial"/>
              <a:cs typeface="Arial"/>
            </a:defRPr>
          </a:pPr>
          <a:endParaRPr lang="en-US"/>
        </a:p>
      </c:txPr>
    </c:legend>
    <c:plotVisOnly val="1"/>
    <c:dispBlanksAs val="gap"/>
    <c:showDLblsOverMax val="0"/>
  </c:chart>
  <c:spPr>
    <a:solidFill>
      <a:srgbClr val="FFFFFF"/>
    </a:solidFill>
    <a:ln w="3172">
      <a:solidFill>
        <a:srgbClr val="000000"/>
      </a:solidFill>
      <a:prstDash val="solid"/>
    </a:ln>
  </c:spPr>
  <c:txPr>
    <a:bodyPr/>
    <a:lstStyle/>
    <a:p>
      <a:pPr>
        <a:defRPr sz="999" b="0" i="0" u="none" strike="noStrike" baseline="0">
          <a:solidFill>
            <a:srgbClr val="000000"/>
          </a:solidFill>
          <a:latin typeface="Arial"/>
          <a:ea typeface="Arial"/>
          <a:cs typeface="Arial"/>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i="0" u="none" strike="noStrike" baseline="0">
                <a:solidFill>
                  <a:srgbClr val="000000"/>
                </a:solidFill>
                <a:latin typeface="Arial"/>
                <a:ea typeface="Arial"/>
                <a:cs typeface="Arial"/>
              </a:defRPr>
            </a:pPr>
            <a:r>
              <a:t>The annual precipitation (mm) Vs the average Oak ring width (mm) between 1972 and 2012</a:t>
            </a:r>
          </a:p>
        </c:rich>
      </c:tx>
      <c:layout>
        <c:manualLayout>
          <c:xMode val="edge"/>
          <c:yMode val="edge"/>
          <c:x val="0.13250883392226148"/>
          <c:y val="1.9292604501607719E-2"/>
        </c:manualLayout>
      </c:layout>
      <c:overlay val="0"/>
      <c:spPr>
        <a:noFill/>
        <a:ln w="25400">
          <a:noFill/>
        </a:ln>
      </c:spPr>
    </c:title>
    <c:autoTitleDeleted val="0"/>
    <c:plotArea>
      <c:layout>
        <c:manualLayout>
          <c:layoutTarget val="inner"/>
          <c:xMode val="edge"/>
          <c:yMode val="edge"/>
          <c:x val="0.11484098939929328"/>
          <c:y val="0.25401929260450162"/>
          <c:w val="0.54063604240282681"/>
          <c:h val="0.54019292604501612"/>
        </c:manualLayout>
      </c:layout>
      <c:barChart>
        <c:barDir val="col"/>
        <c:grouping val="clustered"/>
        <c:varyColors val="0"/>
        <c:ser>
          <c:idx val="1"/>
          <c:order val="0"/>
          <c:tx>
            <c:v>Precipitation (mm)</c:v>
          </c:tx>
          <c:spPr>
            <a:solidFill>
              <a:srgbClr val="3366FF"/>
            </a:solidFill>
            <a:ln w="12700">
              <a:solidFill>
                <a:srgbClr val="3366FF"/>
              </a:solidFill>
              <a:prstDash val="solid"/>
            </a:ln>
          </c:spPr>
          <c:invertIfNegative val="0"/>
          <c:cat>
            <c:numRef>
              <c:f>Sheet1!$A$2:$A$42</c:f>
              <c:numCache>
                <c:formatCode>General</c:formatCode>
                <c:ptCount val="41"/>
                <c:pt idx="0">
                  <c:v>1972</c:v>
                </c:pt>
                <c:pt idx="1">
                  <c:v>1973</c:v>
                </c:pt>
                <c:pt idx="2">
                  <c:v>1974</c:v>
                </c:pt>
                <c:pt idx="3">
                  <c:v>1975</c:v>
                </c:pt>
                <c:pt idx="4">
                  <c:v>1976</c:v>
                </c:pt>
                <c:pt idx="5">
                  <c:v>1977</c:v>
                </c:pt>
                <c:pt idx="6">
                  <c:v>1978</c:v>
                </c:pt>
                <c:pt idx="7">
                  <c:v>1979</c:v>
                </c:pt>
                <c:pt idx="8">
                  <c:v>1980</c:v>
                </c:pt>
                <c:pt idx="9">
                  <c:v>1981</c:v>
                </c:pt>
                <c:pt idx="10">
                  <c:v>1982</c:v>
                </c:pt>
                <c:pt idx="11">
                  <c:v>1983</c:v>
                </c:pt>
                <c:pt idx="12">
                  <c:v>1984</c:v>
                </c:pt>
                <c:pt idx="13">
                  <c:v>1985</c:v>
                </c:pt>
                <c:pt idx="14">
                  <c:v>1986</c:v>
                </c:pt>
                <c:pt idx="15">
                  <c:v>1987</c:v>
                </c:pt>
                <c:pt idx="16">
                  <c:v>1988</c:v>
                </c:pt>
                <c:pt idx="17">
                  <c:v>1989</c:v>
                </c:pt>
                <c:pt idx="18">
                  <c:v>1990</c:v>
                </c:pt>
                <c:pt idx="19">
                  <c:v>1991</c:v>
                </c:pt>
                <c:pt idx="20">
                  <c:v>1992</c:v>
                </c:pt>
                <c:pt idx="21">
                  <c:v>1993</c:v>
                </c:pt>
                <c:pt idx="22">
                  <c:v>1994</c:v>
                </c:pt>
                <c:pt idx="23">
                  <c:v>1995</c:v>
                </c:pt>
                <c:pt idx="24">
                  <c:v>1996</c:v>
                </c:pt>
                <c:pt idx="25">
                  <c:v>1997</c:v>
                </c:pt>
                <c:pt idx="26">
                  <c:v>1998</c:v>
                </c:pt>
                <c:pt idx="27">
                  <c:v>1999</c:v>
                </c:pt>
                <c:pt idx="28">
                  <c:v>2000</c:v>
                </c:pt>
                <c:pt idx="29">
                  <c:v>2001</c:v>
                </c:pt>
                <c:pt idx="30">
                  <c:v>2002</c:v>
                </c:pt>
                <c:pt idx="31">
                  <c:v>2003</c:v>
                </c:pt>
                <c:pt idx="32">
                  <c:v>2004</c:v>
                </c:pt>
                <c:pt idx="33">
                  <c:v>2005</c:v>
                </c:pt>
                <c:pt idx="34">
                  <c:v>2006</c:v>
                </c:pt>
                <c:pt idx="35">
                  <c:v>2007</c:v>
                </c:pt>
                <c:pt idx="36">
                  <c:v>2008</c:v>
                </c:pt>
                <c:pt idx="37">
                  <c:v>2009</c:v>
                </c:pt>
                <c:pt idx="38">
                  <c:v>2010</c:v>
                </c:pt>
                <c:pt idx="39">
                  <c:v>2011</c:v>
                </c:pt>
                <c:pt idx="40">
                  <c:v>2012</c:v>
                </c:pt>
              </c:numCache>
            </c:numRef>
          </c:cat>
          <c:val>
            <c:numRef>
              <c:f>Sheet1!$C$2:$C$42</c:f>
              <c:numCache>
                <c:formatCode>General</c:formatCode>
                <c:ptCount val="41"/>
                <c:pt idx="0">
                  <c:v>1142.5999999999999</c:v>
                </c:pt>
                <c:pt idx="1">
                  <c:v>1108.7</c:v>
                </c:pt>
                <c:pt idx="2">
                  <c:v>1376.3</c:v>
                </c:pt>
                <c:pt idx="3">
                  <c:v>953.62</c:v>
                </c:pt>
                <c:pt idx="4">
                  <c:v>995.1</c:v>
                </c:pt>
                <c:pt idx="5">
                  <c:v>1263.8</c:v>
                </c:pt>
                <c:pt idx="6">
                  <c:v>1173.82</c:v>
                </c:pt>
                <c:pt idx="7">
                  <c:v>1316.5</c:v>
                </c:pt>
                <c:pt idx="8">
                  <c:v>1478.5</c:v>
                </c:pt>
                <c:pt idx="9">
                  <c:v>1578.4</c:v>
                </c:pt>
                <c:pt idx="10">
                  <c:v>1281.7</c:v>
                </c:pt>
                <c:pt idx="11">
                  <c:v>1168.9000000000001</c:v>
                </c:pt>
                <c:pt idx="12">
                  <c:v>1183</c:v>
                </c:pt>
                <c:pt idx="13">
                  <c:v>1097.9000000000001</c:v>
                </c:pt>
                <c:pt idx="14">
                  <c:v>1399.9</c:v>
                </c:pt>
                <c:pt idx="15">
                  <c:v>1179.4000000000001</c:v>
                </c:pt>
                <c:pt idx="16">
                  <c:v>1339.67</c:v>
                </c:pt>
                <c:pt idx="17">
                  <c:v>1043.56</c:v>
                </c:pt>
                <c:pt idx="18">
                  <c:v>1188.54</c:v>
                </c:pt>
                <c:pt idx="19">
                  <c:v>1126.8</c:v>
                </c:pt>
                <c:pt idx="20">
                  <c:v>1332.4</c:v>
                </c:pt>
                <c:pt idx="21">
                  <c:v>1156</c:v>
                </c:pt>
                <c:pt idx="22">
                  <c:v>1278.3499999999999</c:v>
                </c:pt>
                <c:pt idx="23">
                  <c:v>926.86</c:v>
                </c:pt>
                <c:pt idx="24">
                  <c:v>959.5</c:v>
                </c:pt>
                <c:pt idx="25">
                  <c:v>1105.5</c:v>
                </c:pt>
                <c:pt idx="26">
                  <c:v>1395.34</c:v>
                </c:pt>
                <c:pt idx="27">
                  <c:v>1304.2</c:v>
                </c:pt>
                <c:pt idx="28">
                  <c:v>1633.7</c:v>
                </c:pt>
                <c:pt idx="29">
                  <c:v>1282.4000000000001</c:v>
                </c:pt>
                <c:pt idx="30">
                  <c:v>1524.4</c:v>
                </c:pt>
                <c:pt idx="31">
                  <c:v>1021.8</c:v>
                </c:pt>
                <c:pt idx="32">
                  <c:v>1408.8</c:v>
                </c:pt>
                <c:pt idx="33">
                  <c:v>1111.9000000000001</c:v>
                </c:pt>
                <c:pt idx="34">
                  <c:v>1188.94</c:v>
                </c:pt>
                <c:pt idx="35">
                  <c:v>1573.61</c:v>
                </c:pt>
                <c:pt idx="36">
                  <c:v>1513.99</c:v>
                </c:pt>
                <c:pt idx="37">
                  <c:v>1295.53</c:v>
                </c:pt>
                <c:pt idx="38">
                  <c:v>985.66</c:v>
                </c:pt>
                <c:pt idx="39">
                  <c:v>1287.77</c:v>
                </c:pt>
                <c:pt idx="40">
                  <c:v>1656.33</c:v>
                </c:pt>
              </c:numCache>
            </c:numRef>
          </c:val>
        </c:ser>
        <c:dLbls>
          <c:showLegendKey val="0"/>
          <c:showVal val="0"/>
          <c:showCatName val="0"/>
          <c:showSerName val="0"/>
          <c:showPercent val="0"/>
          <c:showBubbleSize val="0"/>
        </c:dLbls>
        <c:gapWidth val="150"/>
        <c:axId val="106083072"/>
        <c:axId val="106084992"/>
      </c:barChart>
      <c:lineChart>
        <c:grouping val="standard"/>
        <c:varyColors val="0"/>
        <c:ser>
          <c:idx val="0"/>
          <c:order val="1"/>
          <c:tx>
            <c:v>Average ring          widths (mm)</c:v>
          </c:tx>
          <c:spPr>
            <a:ln w="25400">
              <a:solidFill>
                <a:srgbClr val="800080"/>
              </a:solidFill>
              <a:prstDash val="solid"/>
            </a:ln>
          </c:spPr>
          <c:marker>
            <c:symbol val="none"/>
          </c:marker>
          <c:val>
            <c:numRef>
              <c:f>Sheet1!$D$2:$D$42</c:f>
              <c:numCache>
                <c:formatCode>General</c:formatCode>
                <c:ptCount val="41"/>
                <c:pt idx="0">
                  <c:v>1.84</c:v>
                </c:pt>
                <c:pt idx="1">
                  <c:v>1.85</c:v>
                </c:pt>
                <c:pt idx="2">
                  <c:v>1.78</c:v>
                </c:pt>
                <c:pt idx="3">
                  <c:v>1.76</c:v>
                </c:pt>
                <c:pt idx="4">
                  <c:v>1.81</c:v>
                </c:pt>
                <c:pt idx="5">
                  <c:v>1.69</c:v>
                </c:pt>
                <c:pt idx="6">
                  <c:v>1.8</c:v>
                </c:pt>
                <c:pt idx="7">
                  <c:v>1.74</c:v>
                </c:pt>
                <c:pt idx="8">
                  <c:v>1.71</c:v>
                </c:pt>
                <c:pt idx="9">
                  <c:v>1.59</c:v>
                </c:pt>
                <c:pt idx="10">
                  <c:v>1.67</c:v>
                </c:pt>
                <c:pt idx="11">
                  <c:v>1.83</c:v>
                </c:pt>
                <c:pt idx="12">
                  <c:v>1.77</c:v>
                </c:pt>
                <c:pt idx="13">
                  <c:v>1.64</c:v>
                </c:pt>
                <c:pt idx="14">
                  <c:v>1.64</c:v>
                </c:pt>
                <c:pt idx="15">
                  <c:v>1.65</c:v>
                </c:pt>
                <c:pt idx="16">
                  <c:v>1.59</c:v>
                </c:pt>
                <c:pt idx="17">
                  <c:v>1.64</c:v>
                </c:pt>
                <c:pt idx="18">
                  <c:v>1.63</c:v>
                </c:pt>
                <c:pt idx="19">
                  <c:v>1.62</c:v>
                </c:pt>
                <c:pt idx="20">
                  <c:v>1.6</c:v>
                </c:pt>
                <c:pt idx="21">
                  <c:v>1.6</c:v>
                </c:pt>
                <c:pt idx="22">
                  <c:v>1.57</c:v>
                </c:pt>
                <c:pt idx="23">
                  <c:v>1.59</c:v>
                </c:pt>
                <c:pt idx="24">
                  <c:v>1.64</c:v>
                </c:pt>
                <c:pt idx="25">
                  <c:v>1.63</c:v>
                </c:pt>
                <c:pt idx="26">
                  <c:v>1.58</c:v>
                </c:pt>
                <c:pt idx="27">
                  <c:v>1.55</c:v>
                </c:pt>
                <c:pt idx="28">
                  <c:v>1.55</c:v>
                </c:pt>
                <c:pt idx="29">
                  <c:v>1.69</c:v>
                </c:pt>
                <c:pt idx="30">
                  <c:v>1.64</c:v>
                </c:pt>
                <c:pt idx="31">
                  <c:v>1.56</c:v>
                </c:pt>
                <c:pt idx="32">
                  <c:v>1.57</c:v>
                </c:pt>
                <c:pt idx="33">
                  <c:v>1.47</c:v>
                </c:pt>
                <c:pt idx="34">
                  <c:v>1.54</c:v>
                </c:pt>
                <c:pt idx="35">
                  <c:v>1.52</c:v>
                </c:pt>
                <c:pt idx="36">
                  <c:v>1.62</c:v>
                </c:pt>
                <c:pt idx="37">
                  <c:v>1.59</c:v>
                </c:pt>
                <c:pt idx="38">
                  <c:v>1.63</c:v>
                </c:pt>
                <c:pt idx="39">
                  <c:v>1.67</c:v>
                </c:pt>
                <c:pt idx="40">
                  <c:v>1.59</c:v>
                </c:pt>
              </c:numCache>
            </c:numRef>
          </c:val>
          <c:smooth val="0"/>
        </c:ser>
        <c:dLbls>
          <c:showLegendKey val="0"/>
          <c:showVal val="0"/>
          <c:showCatName val="0"/>
          <c:showSerName val="0"/>
          <c:showPercent val="0"/>
          <c:showBubbleSize val="0"/>
        </c:dLbls>
        <c:marker val="1"/>
        <c:smooth val="0"/>
        <c:axId val="106095360"/>
        <c:axId val="106096896"/>
      </c:lineChart>
      <c:catAx>
        <c:axId val="106083072"/>
        <c:scaling>
          <c:orientation val="minMax"/>
        </c:scaling>
        <c:delete val="0"/>
        <c:axPos val="b"/>
        <c:title>
          <c:tx>
            <c:rich>
              <a:bodyPr/>
              <a:lstStyle/>
              <a:p>
                <a:pPr>
                  <a:defRPr sz="1100" b="1" i="0" u="none" strike="noStrike" baseline="0">
                    <a:solidFill>
                      <a:srgbClr val="000000"/>
                    </a:solidFill>
                    <a:latin typeface="Arial"/>
                    <a:ea typeface="Arial"/>
                    <a:cs typeface="Arial"/>
                  </a:defRPr>
                </a:pPr>
                <a:r>
                  <a:t>Year</a:t>
                </a:r>
              </a:p>
            </c:rich>
          </c:tx>
          <c:layout>
            <c:manualLayout>
              <c:xMode val="edge"/>
              <c:yMode val="edge"/>
              <c:x val="0.35159010600706714"/>
              <c:y val="0.89067524115755625"/>
            </c:manualLayout>
          </c:layout>
          <c:overlay val="0"/>
          <c:spPr>
            <a:noFill/>
            <a:ln w="25400">
              <a:noFill/>
            </a:ln>
          </c:spPr>
        </c:title>
        <c:numFmt formatCode="General" sourceLinked="1"/>
        <c:majorTickMark val="cross"/>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106084992"/>
        <c:crosses val="autoZero"/>
        <c:auto val="0"/>
        <c:lblAlgn val="ctr"/>
        <c:lblOffset val="100"/>
        <c:tickLblSkip val="5"/>
        <c:tickMarkSkip val="1"/>
        <c:noMultiLvlLbl val="0"/>
      </c:catAx>
      <c:valAx>
        <c:axId val="106084992"/>
        <c:scaling>
          <c:orientation val="minMax"/>
        </c:scaling>
        <c:delete val="0"/>
        <c:axPos val="l"/>
        <c:title>
          <c:tx>
            <c:rich>
              <a:bodyPr/>
              <a:lstStyle/>
              <a:p>
                <a:pPr>
                  <a:defRPr sz="1100" b="1" i="0" u="none" strike="noStrike" baseline="0">
                    <a:solidFill>
                      <a:srgbClr val="000000"/>
                    </a:solidFill>
                    <a:latin typeface="Arial"/>
                    <a:ea typeface="Arial"/>
                    <a:cs typeface="Arial"/>
                  </a:defRPr>
                </a:pPr>
                <a:r>
                  <a:t>Precipitation (mm)</a:t>
                </a:r>
              </a:p>
            </c:rich>
          </c:tx>
          <c:layout>
            <c:manualLayout>
              <c:xMode val="edge"/>
              <c:yMode val="edge"/>
              <c:x val="0"/>
              <c:y val="0.3086816720257235"/>
            </c:manualLayout>
          </c:layout>
          <c:overlay val="0"/>
          <c:spPr>
            <a:noFill/>
            <a:ln w="25400">
              <a:noFill/>
            </a:ln>
          </c:spPr>
        </c:title>
        <c:numFmt formatCode="General" sourceLinked="1"/>
        <c:majorTickMark val="cross"/>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106083072"/>
        <c:crosses val="autoZero"/>
        <c:crossBetween val="between"/>
      </c:valAx>
      <c:catAx>
        <c:axId val="106095360"/>
        <c:scaling>
          <c:orientation val="minMax"/>
        </c:scaling>
        <c:delete val="1"/>
        <c:axPos val="b"/>
        <c:majorTickMark val="out"/>
        <c:minorTickMark val="none"/>
        <c:tickLblPos val="nextTo"/>
        <c:crossAx val="106096896"/>
        <c:crosses val="autoZero"/>
        <c:auto val="0"/>
        <c:lblAlgn val="ctr"/>
        <c:lblOffset val="100"/>
        <c:noMultiLvlLbl val="0"/>
      </c:catAx>
      <c:valAx>
        <c:axId val="106096896"/>
        <c:scaling>
          <c:orientation val="minMax"/>
        </c:scaling>
        <c:delete val="0"/>
        <c:axPos val="r"/>
        <c:title>
          <c:tx>
            <c:rich>
              <a:bodyPr/>
              <a:lstStyle/>
              <a:p>
                <a:pPr>
                  <a:defRPr sz="1100" b="1" i="0" u="none" strike="noStrike" baseline="0">
                    <a:solidFill>
                      <a:srgbClr val="000000"/>
                    </a:solidFill>
                    <a:latin typeface="Arial"/>
                    <a:ea typeface="Arial"/>
                    <a:cs typeface="Arial"/>
                  </a:defRPr>
                </a:pPr>
                <a:r>
                  <a:t>Average Oak ring width (mm)</a:t>
                </a:r>
              </a:p>
            </c:rich>
          </c:tx>
          <c:layout>
            <c:manualLayout>
              <c:xMode val="edge"/>
              <c:yMode val="edge"/>
              <c:x val="0.70494699646643111"/>
              <c:y val="0.33440514469453375"/>
            </c:manualLayout>
          </c:layout>
          <c:overlay val="0"/>
          <c:spPr>
            <a:noFill/>
            <a:ln w="25400">
              <a:noFill/>
            </a:ln>
          </c:spPr>
        </c:title>
        <c:numFmt formatCode="General" sourceLinked="1"/>
        <c:majorTickMark val="cross"/>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106095360"/>
        <c:crosses val="max"/>
        <c:crossBetween val="between"/>
      </c:valAx>
      <c:spPr>
        <a:solidFill>
          <a:srgbClr val="FFFFFF"/>
        </a:solidFill>
        <a:ln w="12700">
          <a:solidFill>
            <a:srgbClr val="808080"/>
          </a:solidFill>
          <a:prstDash val="solid"/>
        </a:ln>
      </c:spPr>
    </c:plotArea>
    <c:legend>
      <c:legendPos val="r"/>
      <c:layout>
        <c:manualLayout>
          <c:xMode val="edge"/>
          <c:yMode val="edge"/>
          <c:x val="0.78445229681978801"/>
          <c:y val="0.39549839228295819"/>
          <c:w val="0.19257950530035337"/>
          <c:h val="0.24758842443729903"/>
        </c:manualLayout>
      </c:layout>
      <c:overlay val="0"/>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en-US"/>
        </a:p>
      </c:txPr>
    </c:legend>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7</Pages>
  <Words>23607</Words>
  <Characters>134562</Characters>
  <Application>Microsoft Office Word</Application>
  <DocSecurity>0</DocSecurity>
  <Lines>1121</Lines>
  <Paragraphs>315</Paragraphs>
  <ScaleCrop>false</ScaleCrop>
  <HeadingPairs>
    <vt:vector size="2" baseType="variant">
      <vt:variant>
        <vt:lpstr>Title</vt:lpstr>
      </vt:variant>
      <vt:variant>
        <vt:i4>1</vt:i4>
      </vt:variant>
    </vt:vector>
  </HeadingPairs>
  <TitlesOfParts>
    <vt:vector size="1" baseType="lpstr">
      <vt:lpstr>To examine how the radial growth patterns of various species of trees may vary after being exposed to the same climatic condit</vt:lpstr>
    </vt:vector>
  </TitlesOfParts>
  <Company/>
  <LinksUpToDate>false</LinksUpToDate>
  <CharactersWithSpaces>157854</CharactersWithSpaces>
  <SharedDoc>false</SharedDoc>
  <HLinks>
    <vt:vector size="246" baseType="variant">
      <vt:variant>
        <vt:i4>2228264</vt:i4>
      </vt:variant>
      <vt:variant>
        <vt:i4>204</vt:i4>
      </vt:variant>
      <vt:variant>
        <vt:i4>0</vt:i4>
      </vt:variant>
      <vt:variant>
        <vt:i4>5</vt:i4>
      </vt:variant>
      <vt:variant>
        <vt:lpwstr>http://www.uclan.ac.uk/information/services/fm/safety_and_health/risk_assessment_guidance.php</vt:lpwstr>
      </vt:variant>
      <vt:variant>
        <vt:lpwstr/>
      </vt:variant>
      <vt:variant>
        <vt:i4>2359384</vt:i4>
      </vt:variant>
      <vt:variant>
        <vt:i4>201</vt:i4>
      </vt:variant>
      <vt:variant>
        <vt:i4>0</vt:i4>
      </vt:variant>
      <vt:variant>
        <vt:i4>5</vt:i4>
      </vt:variant>
      <vt:variant>
        <vt:lpwstr>http://www.uclan.ac.uk/information/services/fm/environment/files/Hazardous_Waste_Disposal_GuidancePDF.pdf</vt:lpwstr>
      </vt:variant>
      <vt:variant>
        <vt:lpwstr/>
      </vt:variant>
      <vt:variant>
        <vt:i4>3801148</vt:i4>
      </vt:variant>
      <vt:variant>
        <vt:i4>198</vt:i4>
      </vt:variant>
      <vt:variant>
        <vt:i4>0</vt:i4>
      </vt:variant>
      <vt:variant>
        <vt:i4>5</vt:i4>
      </vt:variant>
      <vt:variant>
        <vt:lpwstr>http://www.uclan.ac.uk/information/services/fm/safety_and_health/coshh.php</vt:lpwstr>
      </vt:variant>
      <vt:variant>
        <vt:lpwstr/>
      </vt:variant>
      <vt:variant>
        <vt:i4>5767264</vt:i4>
      </vt:variant>
      <vt:variant>
        <vt:i4>195</vt:i4>
      </vt:variant>
      <vt:variant>
        <vt:i4>0</vt:i4>
      </vt:variant>
      <vt:variant>
        <vt:i4>5</vt:i4>
      </vt:variant>
      <vt:variant>
        <vt:lpwstr>http://www.uclan.ac.uk/health/research/data_storage.php</vt:lpwstr>
      </vt:variant>
      <vt:variant>
        <vt:lpwstr/>
      </vt:variant>
      <vt:variant>
        <vt:i4>5767264</vt:i4>
      </vt:variant>
      <vt:variant>
        <vt:i4>192</vt:i4>
      </vt:variant>
      <vt:variant>
        <vt:i4>0</vt:i4>
      </vt:variant>
      <vt:variant>
        <vt:i4>5</vt:i4>
      </vt:variant>
      <vt:variant>
        <vt:lpwstr>http://www.uclan.ac.uk/health/research/data_storage.php</vt:lpwstr>
      </vt:variant>
      <vt:variant>
        <vt:lpwstr/>
      </vt:variant>
      <vt:variant>
        <vt:i4>7143493</vt:i4>
      </vt:variant>
      <vt:variant>
        <vt:i4>189</vt:i4>
      </vt:variant>
      <vt:variant>
        <vt:i4>0</vt:i4>
      </vt:variant>
      <vt:variant>
        <vt:i4>5</vt:i4>
      </vt:variant>
      <vt:variant>
        <vt:lpwstr>http://www.uclan.ac.uk/information/services/sds/dpa_foia_management/DP_code_of_practice.php</vt:lpwstr>
      </vt:variant>
      <vt:variant>
        <vt:lpwstr>SECURITY</vt:lpwstr>
      </vt:variant>
      <vt:variant>
        <vt:i4>720909</vt:i4>
      </vt:variant>
      <vt:variant>
        <vt:i4>186</vt:i4>
      </vt:variant>
      <vt:variant>
        <vt:i4>0</vt:i4>
      </vt:variant>
      <vt:variant>
        <vt:i4>5</vt:i4>
      </vt:variant>
      <vt:variant>
        <vt:lpwstr>http://www.uclan.ac.uk/information/services/sds/dpa_foia_management/advice.php</vt:lpwstr>
      </vt:variant>
      <vt:variant>
        <vt:lpwstr/>
      </vt:variant>
      <vt:variant>
        <vt:i4>7143507</vt:i4>
      </vt:variant>
      <vt:variant>
        <vt:i4>183</vt:i4>
      </vt:variant>
      <vt:variant>
        <vt:i4>0</vt:i4>
      </vt:variant>
      <vt:variant>
        <vt:i4>5</vt:i4>
      </vt:variant>
      <vt:variant>
        <vt:lpwstr>http://www.uclan.ac.uk/information/services/sds/dpa_foia_management/DP_code_of_practice.php</vt:lpwstr>
      </vt:variant>
      <vt:variant>
        <vt:lpwstr/>
      </vt:variant>
      <vt:variant>
        <vt:i4>720909</vt:i4>
      </vt:variant>
      <vt:variant>
        <vt:i4>180</vt:i4>
      </vt:variant>
      <vt:variant>
        <vt:i4>0</vt:i4>
      </vt:variant>
      <vt:variant>
        <vt:i4>5</vt:i4>
      </vt:variant>
      <vt:variant>
        <vt:lpwstr>http://www.uclan.ac.uk/information/services/sds/dpa_foia_management/advice.php</vt:lpwstr>
      </vt:variant>
      <vt:variant>
        <vt:lpwstr/>
      </vt:variant>
      <vt:variant>
        <vt:i4>4456546</vt:i4>
      </vt:variant>
      <vt:variant>
        <vt:i4>177</vt:i4>
      </vt:variant>
      <vt:variant>
        <vt:i4>0</vt:i4>
      </vt:variant>
      <vt:variant>
        <vt:i4>5</vt:i4>
      </vt:variant>
      <vt:variant>
        <vt:lpwstr>http://www.uclan.ac.uk/information/services/sds/dpa_foia_management/data_protection.php</vt:lpwstr>
      </vt:variant>
      <vt:variant>
        <vt:lpwstr/>
      </vt:variant>
      <vt:variant>
        <vt:i4>3342447</vt:i4>
      </vt:variant>
      <vt:variant>
        <vt:i4>174</vt:i4>
      </vt:variant>
      <vt:variant>
        <vt:i4>0</vt:i4>
      </vt:variant>
      <vt:variant>
        <vt:i4>5</vt:i4>
      </vt:variant>
      <vt:variant>
        <vt:lpwstr>http://www.city.ac.uk/acdev/academic_framework/re/guidance_consent.html</vt:lpwstr>
      </vt:variant>
      <vt:variant>
        <vt:lpwstr/>
      </vt:variant>
      <vt:variant>
        <vt:i4>4194409</vt:i4>
      </vt:variant>
      <vt:variant>
        <vt:i4>171</vt:i4>
      </vt:variant>
      <vt:variant>
        <vt:i4>0</vt:i4>
      </vt:variant>
      <vt:variant>
        <vt:i4>5</vt:i4>
      </vt:variant>
      <vt:variant>
        <vt:lpwstr>http://www.uclan.ac.uk/information/services/sas/admissions/staff_list.php</vt:lpwstr>
      </vt:variant>
      <vt:variant>
        <vt:lpwstr/>
      </vt:variant>
      <vt:variant>
        <vt:i4>5636180</vt:i4>
      </vt:variant>
      <vt:variant>
        <vt:i4>168</vt:i4>
      </vt:variant>
      <vt:variant>
        <vt:i4>0</vt:i4>
      </vt:variant>
      <vt:variant>
        <vt:i4>5</vt:i4>
      </vt:variant>
      <vt:variant>
        <vt:lpwstr>http://www.lboro.ac.uk/admin/personnel/recordchecks.html</vt:lpwstr>
      </vt:variant>
      <vt:variant>
        <vt:lpwstr/>
      </vt:variant>
      <vt:variant>
        <vt:i4>1703978</vt:i4>
      </vt:variant>
      <vt:variant>
        <vt:i4>165</vt:i4>
      </vt:variant>
      <vt:variant>
        <vt:i4>0</vt:i4>
      </vt:variant>
      <vt:variant>
        <vt:i4>5</vt:i4>
      </vt:variant>
      <vt:variant>
        <vt:lpwstr>http://www.uclan.ac.uk/information/services/fm/safety_and_health/school_visits.php</vt:lpwstr>
      </vt:variant>
      <vt:variant>
        <vt:lpwstr/>
      </vt:variant>
      <vt:variant>
        <vt:i4>3342348</vt:i4>
      </vt:variant>
      <vt:variant>
        <vt:i4>162</vt:i4>
      </vt:variant>
      <vt:variant>
        <vt:i4>0</vt:i4>
      </vt:variant>
      <vt:variant>
        <vt:i4>5</vt:i4>
      </vt:variant>
      <vt:variant>
        <vt:lpwstr>http://www.uclan.ac.uk/information/services/fm/safety_and_health/lone_working.php</vt:lpwstr>
      </vt:variant>
      <vt:variant>
        <vt:lpwstr/>
      </vt:variant>
      <vt:variant>
        <vt:i4>40</vt:i4>
      </vt:variant>
      <vt:variant>
        <vt:i4>159</vt:i4>
      </vt:variant>
      <vt:variant>
        <vt:i4>0</vt:i4>
      </vt:variant>
      <vt:variant>
        <vt:i4>5</vt:i4>
      </vt:variant>
      <vt:variant>
        <vt:lpwstr>http://www.uclan.ac.uk/information/services/fm/safety_and_health/staff_travel.php</vt:lpwstr>
      </vt:variant>
      <vt:variant>
        <vt:lpwstr/>
      </vt:variant>
      <vt:variant>
        <vt:i4>40</vt:i4>
      </vt:variant>
      <vt:variant>
        <vt:i4>156</vt:i4>
      </vt:variant>
      <vt:variant>
        <vt:i4>0</vt:i4>
      </vt:variant>
      <vt:variant>
        <vt:i4>5</vt:i4>
      </vt:variant>
      <vt:variant>
        <vt:lpwstr>http://www.uclan.ac.uk/information/services/fm/safety_and_health/staff_travel.php</vt:lpwstr>
      </vt:variant>
      <vt:variant>
        <vt:lpwstr/>
      </vt:variant>
      <vt:variant>
        <vt:i4>4915299</vt:i4>
      </vt:variant>
      <vt:variant>
        <vt:i4>153</vt:i4>
      </vt:variant>
      <vt:variant>
        <vt:i4>0</vt:i4>
      </vt:variant>
      <vt:variant>
        <vt:i4>5</vt:i4>
      </vt:variant>
      <vt:variant>
        <vt:lpwstr>http://www.uclan.ac.uk/information/services/fm/safety_and_health/field_trips.php</vt:lpwstr>
      </vt:variant>
      <vt:variant>
        <vt:lpwstr/>
      </vt:variant>
      <vt:variant>
        <vt:i4>6946830</vt:i4>
      </vt:variant>
      <vt:variant>
        <vt:i4>150</vt:i4>
      </vt:variant>
      <vt:variant>
        <vt:i4>0</vt:i4>
      </vt:variant>
      <vt:variant>
        <vt:i4>5</vt:i4>
      </vt:variant>
      <vt:variant>
        <vt:lpwstr>http://www.geog.ucsb.edu/~williams/geog167lab/treeringresearchlab._x000b_pdf.html</vt:lpwstr>
      </vt:variant>
      <vt:variant>
        <vt:lpwstr/>
      </vt:variant>
      <vt:variant>
        <vt:i4>1900562</vt:i4>
      </vt:variant>
      <vt:variant>
        <vt:i4>147</vt:i4>
      </vt:variant>
      <vt:variant>
        <vt:i4>0</vt:i4>
      </vt:variant>
      <vt:variant>
        <vt:i4>5</vt:i4>
      </vt:variant>
      <vt:variant>
        <vt:lpwstr>http://www.tree-ring.co.uk/Tree-ring Dating/Tree-Ring Dating.html</vt:lpwstr>
      </vt:variant>
      <vt:variant>
        <vt:lpwstr/>
      </vt:variant>
      <vt:variant>
        <vt:i4>983064</vt:i4>
      </vt:variant>
      <vt:variant>
        <vt:i4>144</vt:i4>
      </vt:variant>
      <vt:variant>
        <vt:i4>0</vt:i4>
      </vt:variant>
      <vt:variant>
        <vt:i4>5</vt:i4>
      </vt:variant>
      <vt:variant>
        <vt:lpwstr>http://ltrr.arizona.edu/about/treerings.html</vt:lpwstr>
      </vt:variant>
      <vt:variant>
        <vt:lpwstr/>
      </vt:variant>
      <vt:variant>
        <vt:i4>6160448</vt:i4>
      </vt:variant>
      <vt:variant>
        <vt:i4>141</vt:i4>
      </vt:variant>
      <vt:variant>
        <vt:i4>0</vt:i4>
      </vt:variant>
      <vt:variant>
        <vt:i4>5</vt:i4>
      </vt:variant>
      <vt:variant>
        <vt:lpwstr>http://txforestservice.tamu.edu/main/popup.aspx?id=1283. html</vt:lpwstr>
      </vt:variant>
      <vt:variant>
        <vt:lpwstr/>
      </vt:variant>
      <vt:variant>
        <vt:i4>1835072</vt:i4>
      </vt:variant>
      <vt:variant>
        <vt:i4>138</vt:i4>
      </vt:variant>
      <vt:variant>
        <vt:i4>0</vt:i4>
      </vt:variant>
      <vt:variant>
        <vt:i4>5</vt:i4>
      </vt:variant>
      <vt:variant>
        <vt:lpwstr>http://en.poland.gov.pl/Climate,7256.html</vt:lpwstr>
      </vt:variant>
      <vt:variant>
        <vt:lpwstr/>
      </vt:variant>
      <vt:variant>
        <vt:i4>4521993</vt:i4>
      </vt:variant>
      <vt:variant>
        <vt:i4>135</vt:i4>
      </vt:variant>
      <vt:variant>
        <vt:i4>0</vt:i4>
      </vt:variant>
      <vt:variant>
        <vt:i4>5</vt:i4>
      </vt:variant>
      <vt:variant>
        <vt:lpwstr>http://link.springer.com/article/10.1007%2Fs00468-013-0845-5</vt:lpwstr>
      </vt:variant>
      <vt:variant>
        <vt:lpwstr>.html</vt:lpwstr>
      </vt:variant>
      <vt:variant>
        <vt:i4>7864425</vt:i4>
      </vt:variant>
      <vt:variant>
        <vt:i4>132</vt:i4>
      </vt:variant>
      <vt:variant>
        <vt:i4>0</vt:i4>
      </vt:variant>
      <vt:variant>
        <vt:i4>5</vt:i4>
      </vt:variant>
      <vt:variant>
        <vt:lpwstr>http://www.doc.govt.nz/documents/science-and-technical/casn186.pdf.html</vt:lpwstr>
      </vt:variant>
      <vt:variant>
        <vt:lpwstr/>
      </vt:variant>
      <vt:variant>
        <vt:i4>5767174</vt:i4>
      </vt:variant>
      <vt:variant>
        <vt:i4>129</vt:i4>
      </vt:variant>
      <vt:variant>
        <vt:i4>0</vt:i4>
      </vt:variant>
      <vt:variant>
        <vt:i4>5</vt:i4>
      </vt:variant>
      <vt:variant>
        <vt:lpwstr>http://www.ncdc.noaa.gov/paleo/treering.html</vt:lpwstr>
      </vt:variant>
      <vt:variant>
        <vt:lpwstr/>
      </vt:variant>
      <vt:variant>
        <vt:i4>3276874</vt:i4>
      </vt:variant>
      <vt:variant>
        <vt:i4>126</vt:i4>
      </vt:variant>
      <vt:variant>
        <vt:i4>0</vt:i4>
      </vt:variant>
      <vt:variant>
        <vt:i4>5</vt:i4>
      </vt:variant>
      <vt:variant>
        <vt:lpwstr>http://capone.mtsu.edu/dkfuller/tables/_x000b_correlationtable.pdf.html</vt:lpwstr>
      </vt:variant>
      <vt:variant>
        <vt:lpwstr/>
      </vt:variant>
      <vt:variant>
        <vt:i4>6946873</vt:i4>
      </vt:variant>
      <vt:variant>
        <vt:i4>123</vt:i4>
      </vt:variant>
      <vt:variant>
        <vt:i4>0</vt:i4>
      </vt:variant>
      <vt:variant>
        <vt:i4>5</vt:i4>
      </vt:variant>
      <vt:variant>
        <vt:lpwstr>http://www.metoffice.gov.uk/climate/uk/summaries/anomacts.html</vt:lpwstr>
      </vt:variant>
      <vt:variant>
        <vt:lpwstr/>
      </vt:variant>
      <vt:variant>
        <vt:i4>65626</vt:i4>
      </vt:variant>
      <vt:variant>
        <vt:i4>120</vt:i4>
      </vt:variant>
      <vt:variant>
        <vt:i4>0</vt:i4>
      </vt:variant>
      <vt:variant>
        <vt:i4>5</vt:i4>
      </vt:variant>
      <vt:variant>
        <vt:lpwstr>http://www.metoffice.gov.uk/climate/uk/stationdata/.html</vt:lpwstr>
      </vt:variant>
      <vt:variant>
        <vt:lpwstr/>
      </vt:variant>
      <vt:variant>
        <vt:i4>3604596</vt:i4>
      </vt:variant>
      <vt:variant>
        <vt:i4>117</vt:i4>
      </vt:variant>
      <vt:variant>
        <vt:i4>0</vt:i4>
      </vt:variant>
      <vt:variant>
        <vt:i4>5</vt:i4>
      </vt:variant>
      <vt:variant>
        <vt:lpwstr>http://www.cru.uea.ac.uk/cru/posters/2000-03-TM-intraring.pdf.html</vt:lpwstr>
      </vt:variant>
      <vt:variant>
        <vt:lpwstr/>
      </vt:variant>
      <vt:variant>
        <vt:i4>1441876</vt:i4>
      </vt:variant>
      <vt:variant>
        <vt:i4>114</vt:i4>
      </vt:variant>
      <vt:variant>
        <vt:i4>0</vt:i4>
      </vt:variant>
      <vt:variant>
        <vt:i4>5</vt:i4>
      </vt:variant>
      <vt:variant>
        <vt:lpwstr>http://mario.lancashire.gov.uk/agsmario/.html</vt:lpwstr>
      </vt:variant>
      <vt:variant>
        <vt:lpwstr/>
      </vt:variant>
      <vt:variant>
        <vt:i4>131127</vt:i4>
      </vt:variant>
      <vt:variant>
        <vt:i4>111</vt:i4>
      </vt:variant>
      <vt:variant>
        <vt:i4>0</vt:i4>
      </vt:variant>
      <vt:variant>
        <vt:i4>5</vt:i4>
      </vt:variant>
      <vt:variant>
        <vt:lpwstr>http://munin.uit.no/bitstream/handle/10037/2412/ paper_3.pdf?sequence=1.html</vt:lpwstr>
      </vt:variant>
      <vt:variant>
        <vt:lpwstr/>
      </vt:variant>
      <vt:variant>
        <vt:i4>6946928</vt:i4>
      </vt:variant>
      <vt:variant>
        <vt:i4>108</vt:i4>
      </vt:variant>
      <vt:variant>
        <vt:i4>0</vt:i4>
      </vt:variant>
      <vt:variant>
        <vt:i4>5</vt:i4>
      </vt:variant>
      <vt:variant>
        <vt:lpwstr>http://www.u.arizona.edu/~dgriffin/misc/increment_core_sampling. pdf.html</vt:lpwstr>
      </vt:variant>
      <vt:variant>
        <vt:lpwstr/>
      </vt:variant>
      <vt:variant>
        <vt:i4>1048576</vt:i4>
      </vt:variant>
      <vt:variant>
        <vt:i4>105</vt:i4>
      </vt:variant>
      <vt:variant>
        <vt:i4>0</vt:i4>
      </vt:variant>
      <vt:variant>
        <vt:i4>5</vt:i4>
      </vt:variant>
      <vt:variant>
        <vt:lpwstr>http://web.utk.edu/~grissino/principles.html</vt:lpwstr>
      </vt:variant>
      <vt:variant>
        <vt:lpwstr/>
      </vt:variant>
      <vt:variant>
        <vt:i4>7274553</vt:i4>
      </vt:variant>
      <vt:variant>
        <vt:i4>102</vt:i4>
      </vt:variant>
      <vt:variant>
        <vt:i4>0</vt:i4>
      </vt:variant>
      <vt:variant>
        <vt:i4>5</vt:i4>
      </vt:variant>
      <vt:variant>
        <vt:lpwstr>http://www.ifpindia.org/Factors-affecting-tree-diameter-growth.html</vt:lpwstr>
      </vt:variant>
      <vt:variant>
        <vt:lpwstr/>
      </vt:variant>
      <vt:variant>
        <vt:i4>1048577</vt:i4>
      </vt:variant>
      <vt:variant>
        <vt:i4>99</vt:i4>
      </vt:variant>
      <vt:variant>
        <vt:i4>0</vt:i4>
      </vt:variant>
      <vt:variant>
        <vt:i4>5</vt:i4>
      </vt:variant>
      <vt:variant>
        <vt:lpwstr>http://digimap.edina.ac.uk/ roam/mapper.html</vt:lpwstr>
      </vt:variant>
      <vt:variant>
        <vt:lpwstr/>
      </vt:variant>
      <vt:variant>
        <vt:i4>1638420</vt:i4>
      </vt:variant>
      <vt:variant>
        <vt:i4>96</vt:i4>
      </vt:variant>
      <vt:variant>
        <vt:i4>0</vt:i4>
      </vt:variant>
      <vt:variant>
        <vt:i4>5</vt:i4>
      </vt:variant>
      <vt:variant>
        <vt:lpwstr>http://www.extension.umn.edu/distribution/naturalresources/M1289.html</vt:lpwstr>
      </vt:variant>
      <vt:variant>
        <vt:lpwstr/>
      </vt:variant>
      <vt:variant>
        <vt:i4>1638420</vt:i4>
      </vt:variant>
      <vt:variant>
        <vt:i4>93</vt:i4>
      </vt:variant>
      <vt:variant>
        <vt:i4>0</vt:i4>
      </vt:variant>
      <vt:variant>
        <vt:i4>5</vt:i4>
      </vt:variant>
      <vt:variant>
        <vt:lpwstr>http://www.extension.umn.edu/distribution/naturalresources/M1289.html</vt:lpwstr>
      </vt:variant>
      <vt:variant>
        <vt:lpwstr/>
      </vt:variant>
      <vt:variant>
        <vt:i4>1638420</vt:i4>
      </vt:variant>
      <vt:variant>
        <vt:i4>90</vt:i4>
      </vt:variant>
      <vt:variant>
        <vt:i4>0</vt:i4>
      </vt:variant>
      <vt:variant>
        <vt:i4>5</vt:i4>
      </vt:variant>
      <vt:variant>
        <vt:lpwstr>http://www.extension.umn.edu/distribution/naturalresources/M1289.html</vt:lpwstr>
      </vt:variant>
      <vt:variant>
        <vt:lpwstr/>
      </vt:variant>
      <vt:variant>
        <vt:i4>2293858</vt:i4>
      </vt:variant>
      <vt:variant>
        <vt:i4>87</vt:i4>
      </vt:variant>
      <vt:variant>
        <vt:i4>0</vt:i4>
      </vt:variant>
      <vt:variant>
        <vt:i4>5</vt:i4>
      </vt:variant>
      <vt:variant>
        <vt:lpwstr>http://www. extension.umn.edu/distribution/naturalresources/M1289.html</vt:lpwstr>
      </vt:variant>
      <vt:variant>
        <vt:lpwstr/>
      </vt:variant>
      <vt:variant>
        <vt:i4>917592</vt:i4>
      </vt:variant>
      <vt:variant>
        <vt:i4>0</vt:i4>
      </vt:variant>
      <vt:variant>
        <vt:i4>0</vt:i4>
      </vt:variant>
      <vt:variant>
        <vt:i4>5</vt:i4>
      </vt:variant>
      <vt:variant>
        <vt:lpwstr>http://treephys.oxfordjournals.org/content/30/6/</vt:lpwstr>
      </vt:variant>
      <vt:variant>
        <vt:lpwstr>ref-9</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To examine how the radial growth patterns of various species of trees may vary after being exposed to the same climatic condit</dc:title>
  <dc:creator>user</dc:creator>
  <cp:lastModifiedBy>Christopher Nathan Lowe</cp:lastModifiedBy>
  <cp:revision>2</cp:revision>
  <dcterms:created xsi:type="dcterms:W3CDTF">2013-06-06T12:34:00Z</dcterms:created>
  <dcterms:modified xsi:type="dcterms:W3CDTF">2013-06-06T12:34:00Z</dcterms:modified>
</cp:coreProperties>
</file>