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4BF52" w14:textId="2E416CD6" w:rsidR="009D0E75" w:rsidRPr="009D0E75" w:rsidRDefault="008274ED" w:rsidP="00DD59AD">
      <w:pPr>
        <w:widowControl w:val="0"/>
        <w:autoSpaceDE w:val="0"/>
        <w:autoSpaceDN w:val="0"/>
        <w:adjustRightInd w:val="0"/>
        <w:spacing w:after="240" w:line="460" w:lineRule="atLeast"/>
        <w:jc w:val="both"/>
        <w:rPr>
          <w:rFonts w:ascii="Cambria" w:hAnsi="Cambria" w:cs="Times"/>
          <w:b/>
          <w:position w:val="13"/>
          <w:sz w:val="28"/>
          <w:szCs w:val="28"/>
          <w:lang w:val="en-US"/>
        </w:rPr>
      </w:pPr>
      <w:r w:rsidRPr="00DD59AD">
        <w:rPr>
          <w:rFonts w:ascii="Cambria" w:hAnsi="Cambria" w:cs="Times"/>
          <w:b/>
          <w:bCs/>
          <w:sz w:val="28"/>
          <w:szCs w:val="28"/>
          <w:lang w:val="en-US"/>
        </w:rPr>
        <w:t>Ionic liquid ordering at a model electrode inter</w:t>
      </w:r>
      <w:r w:rsidR="003103C1">
        <w:rPr>
          <w:rFonts w:ascii="Cambria" w:hAnsi="Cambria" w:cs="Times"/>
          <w:b/>
          <w:bCs/>
          <w:sz w:val="28"/>
          <w:szCs w:val="28"/>
          <w:lang w:val="en-US"/>
        </w:rPr>
        <w:t>face: 1-b</w:t>
      </w:r>
      <w:r w:rsidR="00DD59AD" w:rsidRPr="00DD59AD">
        <w:rPr>
          <w:rFonts w:ascii="Cambria" w:hAnsi="Cambria" w:cs="Times"/>
          <w:b/>
          <w:bCs/>
          <w:sz w:val="28"/>
          <w:szCs w:val="28"/>
          <w:lang w:val="en-US"/>
        </w:rPr>
        <w:t xml:space="preserve">utyl-3 </w:t>
      </w:r>
      <w:proofErr w:type="spellStart"/>
      <w:r w:rsidR="003103C1">
        <w:rPr>
          <w:rFonts w:ascii="Cambria" w:hAnsi="Cambria" w:cs="Times"/>
          <w:b/>
          <w:bCs/>
          <w:sz w:val="28"/>
          <w:szCs w:val="28"/>
          <w:lang w:val="en-US"/>
        </w:rPr>
        <w:t>methylimidazolium</w:t>
      </w:r>
      <w:proofErr w:type="spellEnd"/>
      <w:r w:rsidR="003103C1">
        <w:rPr>
          <w:rFonts w:ascii="Cambria" w:hAnsi="Cambria" w:cs="Times"/>
          <w:b/>
          <w:bCs/>
          <w:sz w:val="28"/>
          <w:szCs w:val="28"/>
          <w:lang w:val="en-US"/>
        </w:rPr>
        <w:t xml:space="preserve"> </w:t>
      </w:r>
      <w:proofErr w:type="spellStart"/>
      <w:r w:rsidR="003103C1">
        <w:rPr>
          <w:rFonts w:ascii="Cambria" w:hAnsi="Cambria" w:cs="Times"/>
          <w:b/>
          <w:bCs/>
          <w:sz w:val="28"/>
          <w:szCs w:val="28"/>
          <w:lang w:val="en-US"/>
        </w:rPr>
        <w:t>t</w:t>
      </w:r>
      <w:r w:rsidRPr="00DD59AD">
        <w:rPr>
          <w:rFonts w:ascii="Cambria" w:hAnsi="Cambria" w:cs="Times"/>
          <w:b/>
          <w:bCs/>
          <w:sz w:val="28"/>
          <w:szCs w:val="28"/>
          <w:lang w:val="en-US"/>
        </w:rPr>
        <w:t>etrafluoroborate</w:t>
      </w:r>
      <w:proofErr w:type="spellEnd"/>
      <w:r w:rsidRPr="00DD59AD">
        <w:rPr>
          <w:rFonts w:ascii="Cambria" w:hAnsi="Cambria" w:cs="Times"/>
          <w:b/>
          <w:bCs/>
          <w:sz w:val="28"/>
          <w:szCs w:val="28"/>
          <w:lang w:val="en-US"/>
        </w:rPr>
        <w:t>, [C</w:t>
      </w:r>
      <w:r w:rsidRPr="00DD59AD">
        <w:rPr>
          <w:rFonts w:ascii="Cambria" w:hAnsi="Cambria" w:cs="Times"/>
          <w:b/>
          <w:position w:val="-6"/>
          <w:sz w:val="28"/>
          <w:szCs w:val="28"/>
          <w:lang w:val="en-US"/>
        </w:rPr>
        <w:t>4</w:t>
      </w:r>
      <w:r w:rsidRPr="00DD59AD">
        <w:rPr>
          <w:rFonts w:ascii="Cambria" w:hAnsi="Cambria" w:cs="Times"/>
          <w:b/>
          <w:bCs/>
          <w:sz w:val="28"/>
          <w:szCs w:val="28"/>
          <w:lang w:val="en-US"/>
        </w:rPr>
        <w:t>C</w:t>
      </w:r>
      <w:r w:rsidRPr="00DD59AD">
        <w:rPr>
          <w:rFonts w:ascii="Cambria" w:hAnsi="Cambria" w:cs="Times"/>
          <w:b/>
          <w:position w:val="-6"/>
          <w:sz w:val="28"/>
          <w:szCs w:val="28"/>
          <w:lang w:val="en-US"/>
        </w:rPr>
        <w:t>1</w:t>
      </w:r>
      <w:proofErr w:type="spellStart"/>
      <w:r w:rsidRPr="00DD59AD">
        <w:rPr>
          <w:rFonts w:ascii="Cambria" w:hAnsi="Cambria" w:cs="Times"/>
          <w:b/>
          <w:bCs/>
          <w:sz w:val="28"/>
          <w:szCs w:val="28"/>
          <w:lang w:val="en-US"/>
        </w:rPr>
        <w:t>Im</w:t>
      </w:r>
      <w:proofErr w:type="spellEnd"/>
      <w:r w:rsidRPr="00DD59AD">
        <w:rPr>
          <w:rFonts w:ascii="Cambria" w:hAnsi="Cambria" w:cs="Times"/>
          <w:b/>
          <w:bCs/>
          <w:sz w:val="28"/>
          <w:szCs w:val="28"/>
          <w:lang w:val="en-US"/>
        </w:rPr>
        <w:t>][BF</w:t>
      </w:r>
      <w:r w:rsidRPr="00DD59AD">
        <w:rPr>
          <w:rFonts w:ascii="Cambria" w:hAnsi="Cambria" w:cs="Times"/>
          <w:b/>
          <w:position w:val="-6"/>
          <w:sz w:val="28"/>
          <w:szCs w:val="28"/>
          <w:lang w:val="en-US"/>
        </w:rPr>
        <w:t>4</w:t>
      </w:r>
      <w:r w:rsidR="003103C1">
        <w:rPr>
          <w:rFonts w:ascii="Cambria" w:hAnsi="Cambria" w:cs="Times"/>
          <w:b/>
          <w:bCs/>
          <w:sz w:val="28"/>
          <w:szCs w:val="28"/>
          <w:lang w:val="en-US"/>
        </w:rPr>
        <w:t>]</w:t>
      </w:r>
      <w:r w:rsidR="00F63014">
        <w:rPr>
          <w:rFonts w:ascii="Cambria" w:hAnsi="Cambria" w:cs="Times"/>
          <w:b/>
          <w:bCs/>
          <w:sz w:val="28"/>
          <w:szCs w:val="28"/>
          <w:lang w:val="en-US"/>
        </w:rPr>
        <w:t>,</w:t>
      </w:r>
      <w:r w:rsidR="003103C1">
        <w:rPr>
          <w:rFonts w:ascii="Cambria" w:hAnsi="Cambria" w:cs="Times"/>
          <w:b/>
          <w:bCs/>
          <w:sz w:val="28"/>
          <w:szCs w:val="28"/>
          <w:lang w:val="en-US"/>
        </w:rPr>
        <w:t xml:space="preserve"> interaction with the </w:t>
      </w:r>
      <w:proofErr w:type="spellStart"/>
      <w:r w:rsidR="003103C1">
        <w:rPr>
          <w:rFonts w:ascii="Cambria" w:hAnsi="Cambria" w:cs="Times"/>
          <w:b/>
          <w:bCs/>
          <w:sz w:val="28"/>
          <w:szCs w:val="28"/>
          <w:lang w:val="en-US"/>
        </w:rPr>
        <w:t>a</w:t>
      </w:r>
      <w:r w:rsidRPr="00DD59AD">
        <w:rPr>
          <w:rFonts w:ascii="Cambria" w:hAnsi="Cambria" w:cs="Times"/>
          <w:b/>
          <w:bCs/>
          <w:sz w:val="28"/>
          <w:szCs w:val="28"/>
          <w:lang w:val="en-US"/>
        </w:rPr>
        <w:t>natase</w:t>
      </w:r>
      <w:proofErr w:type="spellEnd"/>
      <w:r w:rsidRPr="00DD59AD">
        <w:rPr>
          <w:rFonts w:ascii="Cambria" w:hAnsi="Cambria" w:cs="Times"/>
          <w:b/>
          <w:bCs/>
          <w:sz w:val="28"/>
          <w:szCs w:val="28"/>
          <w:lang w:val="en-US"/>
        </w:rPr>
        <w:t xml:space="preserve"> </w:t>
      </w:r>
      <w:proofErr w:type="spellStart"/>
      <w:r w:rsidRPr="00DD59AD">
        <w:rPr>
          <w:rFonts w:ascii="Cambria" w:hAnsi="Cambria" w:cs="Times"/>
          <w:b/>
          <w:bCs/>
          <w:sz w:val="28"/>
          <w:szCs w:val="28"/>
          <w:lang w:val="en-US"/>
        </w:rPr>
        <w:t>TiO</w:t>
      </w:r>
      <w:proofErr w:type="spellEnd"/>
      <w:r w:rsidRPr="00DD59AD">
        <w:rPr>
          <w:rFonts w:ascii="Cambria" w:hAnsi="Cambria" w:cs="Times"/>
          <w:b/>
          <w:position w:val="-6"/>
          <w:sz w:val="28"/>
          <w:szCs w:val="28"/>
          <w:lang w:val="en-US"/>
        </w:rPr>
        <w:t>2</w:t>
      </w:r>
      <w:r w:rsidRPr="00DD59AD">
        <w:rPr>
          <w:rFonts w:ascii="Cambria" w:hAnsi="Cambria" w:cs="Times"/>
          <w:b/>
          <w:bCs/>
          <w:sz w:val="28"/>
          <w:szCs w:val="28"/>
          <w:lang w:val="en-US"/>
        </w:rPr>
        <w:t>(101) Surface</w:t>
      </w:r>
      <w:r w:rsidRPr="00DD59AD">
        <w:rPr>
          <w:rFonts w:ascii="Cambria" w:hAnsi="Cambria" w:cs="Times"/>
          <w:b/>
          <w:position w:val="13"/>
          <w:sz w:val="28"/>
          <w:szCs w:val="28"/>
          <w:lang w:val="en-US"/>
        </w:rPr>
        <w:t xml:space="preserve"> </w:t>
      </w:r>
    </w:p>
    <w:p w14:paraId="1997B41A" w14:textId="77777777" w:rsidR="008274ED" w:rsidRPr="00DD59AD" w:rsidRDefault="008274ED" w:rsidP="00DD59AD">
      <w:pPr>
        <w:widowControl w:val="0"/>
        <w:autoSpaceDE w:val="0"/>
        <w:autoSpaceDN w:val="0"/>
        <w:adjustRightInd w:val="0"/>
        <w:spacing w:after="240" w:line="300" w:lineRule="atLeast"/>
        <w:jc w:val="both"/>
        <w:rPr>
          <w:rFonts w:ascii="Cambria" w:hAnsi="Cambria" w:cs="Times"/>
          <w:lang w:val="en-US"/>
        </w:rPr>
      </w:pPr>
      <w:r w:rsidRPr="00DD59AD">
        <w:rPr>
          <w:rFonts w:ascii="Cambria" w:hAnsi="Cambria" w:cs="Times"/>
          <w:lang w:val="en-US"/>
        </w:rPr>
        <w:t xml:space="preserve">Michael </w:t>
      </w:r>
      <w:proofErr w:type="spellStart"/>
      <w:r w:rsidRPr="00DD59AD">
        <w:rPr>
          <w:rFonts w:ascii="Cambria" w:hAnsi="Cambria" w:cs="Times"/>
          <w:lang w:val="en-US"/>
        </w:rPr>
        <w:t>Wagstaffe</w:t>
      </w:r>
      <w:proofErr w:type="spellEnd"/>
      <w:r w:rsidRPr="00DD59AD">
        <w:rPr>
          <w:rFonts w:ascii="Cambria" w:hAnsi="Cambria" w:cs="Times"/>
          <w:lang w:val="en-US"/>
        </w:rPr>
        <w:t>,</w:t>
      </w:r>
      <w:proofErr w:type="spellStart"/>
      <w:r w:rsidRPr="00DD59AD">
        <w:rPr>
          <w:rFonts w:ascii="Cambria" w:hAnsi="Cambria" w:cs="Times"/>
          <w:i/>
          <w:iCs/>
          <w:position w:val="10"/>
          <w:lang w:val="en-US"/>
        </w:rPr>
        <w:t>a</w:t>
      </w:r>
      <w:r w:rsidRPr="00DD59AD">
        <w:rPr>
          <w:rFonts w:ascii="Cambria" w:hAnsi="Cambria" w:cs="Times"/>
          <w:position w:val="10"/>
          <w:lang w:val="en-US"/>
        </w:rPr>
        <w:t>,</w:t>
      </w:r>
      <w:r w:rsidRPr="00DD59AD">
        <w:rPr>
          <w:rFonts w:ascii="Cambria" w:hAnsi="Cambria" w:cs="Times"/>
          <w:i/>
          <w:iCs/>
          <w:position w:val="10"/>
          <w:lang w:val="en-US"/>
        </w:rPr>
        <w:t>c</w:t>
      </w:r>
      <w:proofErr w:type="spellEnd"/>
      <w:r w:rsidRPr="00DD59AD">
        <w:rPr>
          <w:rFonts w:ascii="Cambria" w:hAnsi="Cambria" w:cs="Times"/>
          <w:i/>
          <w:iCs/>
          <w:position w:val="10"/>
          <w:lang w:val="en-US"/>
        </w:rPr>
        <w:t xml:space="preserve"> </w:t>
      </w:r>
      <w:r w:rsidRPr="00DD59AD">
        <w:rPr>
          <w:rFonts w:ascii="Cambria" w:hAnsi="Cambria" w:cs="Times"/>
          <w:lang w:val="en-US"/>
        </w:rPr>
        <w:t xml:space="preserve">Mark </w:t>
      </w:r>
      <w:proofErr w:type="spellStart"/>
      <w:r w:rsidRPr="00DD59AD">
        <w:rPr>
          <w:rFonts w:ascii="Cambria" w:hAnsi="Cambria" w:cs="Times"/>
          <w:lang w:val="en-US"/>
        </w:rPr>
        <w:t>Jackman</w:t>
      </w:r>
      <w:proofErr w:type="spellEnd"/>
      <w:r w:rsidRPr="00DD59AD">
        <w:rPr>
          <w:rFonts w:ascii="Cambria" w:hAnsi="Cambria" w:cs="Times"/>
          <w:lang w:val="en-US"/>
        </w:rPr>
        <w:t>,</w:t>
      </w:r>
      <w:proofErr w:type="spellStart"/>
      <w:r w:rsidRPr="00DD59AD">
        <w:rPr>
          <w:rFonts w:ascii="Cambria" w:hAnsi="Cambria" w:cs="Times"/>
          <w:i/>
          <w:iCs/>
          <w:position w:val="10"/>
          <w:lang w:val="en-US"/>
        </w:rPr>
        <w:t>a</w:t>
      </w:r>
      <w:r w:rsidRPr="00DD59AD">
        <w:rPr>
          <w:rFonts w:ascii="Cambria" w:hAnsi="Cambria" w:cs="Times"/>
          <w:position w:val="10"/>
          <w:lang w:val="en-US"/>
        </w:rPr>
        <w:t>,</w:t>
      </w:r>
      <w:r w:rsidRPr="00DD59AD">
        <w:rPr>
          <w:rFonts w:ascii="Cambria" w:hAnsi="Cambria" w:cs="Times"/>
          <w:i/>
          <w:iCs/>
          <w:position w:val="10"/>
          <w:lang w:val="en-US"/>
        </w:rPr>
        <w:t>c</w:t>
      </w:r>
      <w:proofErr w:type="spellEnd"/>
      <w:r w:rsidRPr="00DD59AD">
        <w:rPr>
          <w:rFonts w:ascii="Cambria" w:hAnsi="Cambria" w:cs="Times"/>
          <w:i/>
          <w:iCs/>
          <w:position w:val="10"/>
          <w:lang w:val="en-US"/>
        </w:rPr>
        <w:t xml:space="preserve"> </w:t>
      </w:r>
      <w:r w:rsidRPr="00DD59AD">
        <w:rPr>
          <w:rFonts w:ascii="Cambria" w:hAnsi="Cambria" w:cs="Times"/>
          <w:lang w:val="en-US"/>
        </w:rPr>
        <w:t xml:space="preserve">Karen </w:t>
      </w:r>
      <w:proofErr w:type="spellStart"/>
      <w:r w:rsidRPr="00DD59AD">
        <w:rPr>
          <w:rFonts w:ascii="Cambria" w:hAnsi="Cambria" w:cs="Times"/>
          <w:lang w:val="en-US"/>
        </w:rPr>
        <w:t>Syres</w:t>
      </w:r>
      <w:proofErr w:type="spellEnd"/>
      <w:r w:rsidRPr="00DD59AD">
        <w:rPr>
          <w:rFonts w:ascii="Cambria" w:hAnsi="Cambria" w:cs="Times"/>
          <w:lang w:val="en-US"/>
        </w:rPr>
        <w:t xml:space="preserve"> </w:t>
      </w:r>
      <w:r w:rsidRPr="00DD59AD">
        <w:rPr>
          <w:rFonts w:ascii="Cambria" w:hAnsi="Cambria" w:cs="Times"/>
          <w:i/>
          <w:iCs/>
          <w:position w:val="10"/>
          <w:lang w:val="en-US"/>
        </w:rPr>
        <w:t xml:space="preserve">d </w:t>
      </w:r>
      <w:r w:rsidRPr="00DD59AD">
        <w:rPr>
          <w:rFonts w:ascii="Cambria" w:hAnsi="Cambria" w:cs="Times"/>
          <w:lang w:val="en-US"/>
        </w:rPr>
        <w:t xml:space="preserve">Alexander </w:t>
      </w:r>
      <w:proofErr w:type="spellStart"/>
      <w:r w:rsidRPr="00DD59AD">
        <w:rPr>
          <w:rFonts w:ascii="Cambria" w:hAnsi="Cambria" w:cs="Times"/>
          <w:lang w:val="en-US"/>
        </w:rPr>
        <w:t>Generalov</w:t>
      </w:r>
      <w:proofErr w:type="spellEnd"/>
      <w:r w:rsidRPr="00DD59AD">
        <w:rPr>
          <w:rFonts w:ascii="Cambria" w:hAnsi="Cambria" w:cs="Times"/>
          <w:lang w:val="en-US"/>
        </w:rPr>
        <w:t xml:space="preserve"> </w:t>
      </w:r>
      <w:r w:rsidRPr="00DD59AD">
        <w:rPr>
          <w:rFonts w:ascii="Cambria" w:hAnsi="Cambria" w:cs="Times"/>
          <w:i/>
          <w:iCs/>
          <w:position w:val="10"/>
          <w:lang w:val="en-US"/>
        </w:rPr>
        <w:t xml:space="preserve">e </w:t>
      </w:r>
      <w:r w:rsidRPr="00DD59AD">
        <w:rPr>
          <w:rFonts w:ascii="Cambria" w:hAnsi="Cambria" w:cs="Times"/>
          <w:lang w:val="en-US"/>
        </w:rPr>
        <w:t>and Andrew Thomas,</w:t>
      </w:r>
      <w:r w:rsidRPr="00DD59AD">
        <w:rPr>
          <w:rFonts w:ascii="Cambria" w:hAnsi="Cambria" w:cs="Lucida Sans Unicode"/>
          <w:position w:val="10"/>
          <w:lang w:val="en-US"/>
        </w:rPr>
        <w:t>∗</w:t>
      </w:r>
      <w:proofErr w:type="spellStart"/>
      <w:r w:rsidRPr="00DD59AD">
        <w:rPr>
          <w:rFonts w:ascii="Cambria" w:hAnsi="Cambria" w:cs="Times"/>
          <w:i/>
          <w:iCs/>
          <w:position w:val="10"/>
          <w:lang w:val="en-US"/>
        </w:rPr>
        <w:t>b</w:t>
      </w:r>
      <w:r w:rsidRPr="00DD59AD">
        <w:rPr>
          <w:rFonts w:ascii="Cambria" w:hAnsi="Cambria" w:cs="Times"/>
          <w:position w:val="10"/>
          <w:lang w:val="en-US"/>
        </w:rPr>
        <w:t>,</w:t>
      </w:r>
      <w:r w:rsidRPr="00DD59AD">
        <w:rPr>
          <w:rFonts w:ascii="Cambria" w:hAnsi="Cambria" w:cs="Times"/>
          <w:i/>
          <w:iCs/>
          <w:position w:val="10"/>
          <w:lang w:val="en-US"/>
        </w:rPr>
        <w:t>c</w:t>
      </w:r>
      <w:proofErr w:type="spellEnd"/>
      <w:r w:rsidRPr="00DD59AD">
        <w:rPr>
          <w:rFonts w:ascii="Cambria" w:hAnsi="Cambria" w:cs="Times"/>
          <w:i/>
          <w:iCs/>
          <w:position w:val="10"/>
          <w:lang w:val="en-US"/>
        </w:rPr>
        <w:t xml:space="preserve"> </w:t>
      </w:r>
    </w:p>
    <w:p w14:paraId="6BE51BDD" w14:textId="77777777" w:rsidR="008274ED" w:rsidRPr="00DD59AD" w:rsidRDefault="008274ED" w:rsidP="00945D60">
      <w:pPr>
        <w:widowControl w:val="0"/>
        <w:autoSpaceDE w:val="0"/>
        <w:autoSpaceDN w:val="0"/>
        <w:adjustRightInd w:val="0"/>
        <w:spacing w:after="240"/>
        <w:jc w:val="both"/>
        <w:rPr>
          <w:rFonts w:ascii="Cambria" w:hAnsi="Cambria" w:cs="Times"/>
          <w:i/>
          <w:iCs/>
          <w:sz w:val="20"/>
          <w:szCs w:val="20"/>
          <w:lang w:val="en-US"/>
        </w:rPr>
      </w:pPr>
      <w:r w:rsidRPr="00DD59AD">
        <w:rPr>
          <w:rFonts w:ascii="Cambria" w:hAnsi="Cambria" w:cs="Times"/>
          <w:i/>
          <w:iCs/>
          <w:position w:val="8"/>
          <w:sz w:val="20"/>
          <w:szCs w:val="20"/>
          <w:lang w:val="en-US"/>
        </w:rPr>
        <w:t xml:space="preserve">a </w:t>
      </w:r>
      <w:r w:rsidRPr="00DD59AD">
        <w:rPr>
          <w:rFonts w:ascii="Cambria" w:hAnsi="Cambria" w:cs="Times"/>
          <w:i/>
          <w:iCs/>
          <w:sz w:val="20"/>
          <w:szCs w:val="20"/>
          <w:lang w:val="en-US"/>
        </w:rPr>
        <w:t xml:space="preserve">School of Physics and Astronomy, </w:t>
      </w:r>
      <w:r w:rsidRPr="00DD59AD">
        <w:rPr>
          <w:rFonts w:ascii="Cambria" w:hAnsi="Cambria" w:cs="Times"/>
          <w:i/>
          <w:iCs/>
          <w:position w:val="8"/>
          <w:sz w:val="20"/>
          <w:szCs w:val="20"/>
          <w:lang w:val="en-US"/>
        </w:rPr>
        <w:t xml:space="preserve">b </w:t>
      </w:r>
      <w:r w:rsidRPr="00DD59AD">
        <w:rPr>
          <w:rFonts w:ascii="Cambria" w:hAnsi="Cambria" w:cs="Times"/>
          <w:i/>
          <w:iCs/>
          <w:sz w:val="20"/>
          <w:szCs w:val="20"/>
          <w:lang w:val="en-US"/>
        </w:rPr>
        <w:t xml:space="preserve">School of Materials and </w:t>
      </w:r>
      <w:r w:rsidRPr="00DD59AD">
        <w:rPr>
          <w:rFonts w:ascii="Cambria" w:hAnsi="Cambria" w:cs="Times"/>
          <w:i/>
          <w:iCs/>
          <w:position w:val="8"/>
          <w:sz w:val="20"/>
          <w:szCs w:val="20"/>
          <w:lang w:val="en-US"/>
        </w:rPr>
        <w:t>c</w:t>
      </w:r>
      <w:r w:rsidRPr="00DD59AD">
        <w:rPr>
          <w:rFonts w:ascii="Cambria" w:hAnsi="Cambria" w:cs="Times"/>
          <w:i/>
          <w:iCs/>
          <w:sz w:val="20"/>
          <w:szCs w:val="20"/>
          <w:lang w:val="en-US"/>
        </w:rPr>
        <w:t xml:space="preserve">Photon Science Institute, The University of Manchester, Oxford Road, Manchester M13 9PL, U.K.; E-mail: </w:t>
      </w:r>
      <w:hyperlink r:id="rId7" w:history="1">
        <w:r w:rsidRPr="00DD59AD">
          <w:rPr>
            <w:rStyle w:val="Hyperlink"/>
            <w:rFonts w:ascii="Cambria" w:hAnsi="Cambria" w:cs="Times"/>
            <w:i/>
            <w:iCs/>
            <w:sz w:val="20"/>
            <w:szCs w:val="20"/>
            <w:lang w:val="en-US"/>
          </w:rPr>
          <w:t>andrew.g.thomas@manchester.ac.uk</w:t>
        </w:r>
      </w:hyperlink>
    </w:p>
    <w:p w14:paraId="4F6AE5FE" w14:textId="77777777" w:rsidR="008274ED" w:rsidRPr="00DD59AD" w:rsidRDefault="008274ED" w:rsidP="00945D60">
      <w:pPr>
        <w:widowControl w:val="0"/>
        <w:autoSpaceDE w:val="0"/>
        <w:autoSpaceDN w:val="0"/>
        <w:adjustRightInd w:val="0"/>
        <w:spacing w:after="240"/>
        <w:jc w:val="both"/>
        <w:rPr>
          <w:rFonts w:ascii="Cambria" w:hAnsi="Cambria" w:cs="Times"/>
          <w:i/>
          <w:iCs/>
          <w:position w:val="8"/>
          <w:sz w:val="20"/>
          <w:szCs w:val="20"/>
          <w:lang w:val="en-US"/>
        </w:rPr>
      </w:pPr>
      <w:r w:rsidRPr="00DD59AD">
        <w:rPr>
          <w:rFonts w:ascii="Cambria" w:hAnsi="Cambria" w:cs="Times"/>
          <w:i/>
          <w:iCs/>
          <w:sz w:val="20"/>
          <w:szCs w:val="20"/>
          <w:lang w:val="en-US"/>
        </w:rPr>
        <w:t> </w:t>
      </w:r>
      <w:r w:rsidRPr="00DD59AD">
        <w:rPr>
          <w:rFonts w:ascii="Cambria" w:hAnsi="Cambria" w:cs="Times"/>
          <w:i/>
          <w:iCs/>
          <w:position w:val="8"/>
          <w:sz w:val="20"/>
          <w:szCs w:val="20"/>
          <w:lang w:val="en-US"/>
        </w:rPr>
        <w:t xml:space="preserve">d </w:t>
      </w:r>
      <w:r w:rsidRPr="00DD59AD">
        <w:rPr>
          <w:rFonts w:ascii="Cambria" w:hAnsi="Cambria" w:cs="Times"/>
          <w:i/>
          <w:iCs/>
          <w:sz w:val="20"/>
          <w:szCs w:val="20"/>
          <w:lang w:val="en-US"/>
        </w:rPr>
        <w:t xml:space="preserve">Jeremiah </w:t>
      </w:r>
      <w:proofErr w:type="spellStart"/>
      <w:r w:rsidRPr="00DD59AD">
        <w:rPr>
          <w:rFonts w:ascii="Cambria" w:hAnsi="Cambria" w:cs="Times"/>
          <w:i/>
          <w:iCs/>
          <w:sz w:val="20"/>
          <w:szCs w:val="20"/>
          <w:lang w:val="en-US"/>
        </w:rPr>
        <w:t>Horrocks</w:t>
      </w:r>
      <w:proofErr w:type="spellEnd"/>
      <w:r w:rsidRPr="00DD59AD">
        <w:rPr>
          <w:rFonts w:ascii="Cambria" w:hAnsi="Cambria" w:cs="Times"/>
          <w:i/>
          <w:iCs/>
          <w:sz w:val="20"/>
          <w:szCs w:val="20"/>
          <w:lang w:val="en-US"/>
        </w:rPr>
        <w:t xml:space="preserve"> Institute, The University of Central Lancashire, Fylde Road, Preston PR1 2HE, U.K. </w:t>
      </w:r>
    </w:p>
    <w:p w14:paraId="2B4B9CA8" w14:textId="7F7F170C" w:rsidR="00DD59AD" w:rsidRPr="00463B4C" w:rsidRDefault="008274ED" w:rsidP="00945D60">
      <w:pPr>
        <w:pStyle w:val="NormalWeb"/>
        <w:spacing w:before="0" w:beforeAutospacing="0" w:after="0" w:afterAutospacing="0"/>
        <w:rPr>
          <w:rFonts w:ascii="Cambria" w:hAnsi="Cambria"/>
          <w:i/>
        </w:rPr>
      </w:pPr>
      <w:r w:rsidRPr="00FF7468">
        <w:rPr>
          <w:rFonts w:ascii="Cambria" w:hAnsi="Cambria" w:cs="Times"/>
          <w:i/>
          <w:iCs/>
          <w:position w:val="8"/>
          <w:lang w:val="en-US"/>
        </w:rPr>
        <w:t xml:space="preserve">e </w:t>
      </w:r>
      <w:r w:rsidR="00FF7468" w:rsidRPr="00FF7468">
        <w:rPr>
          <w:rFonts w:ascii="Cambria" w:hAnsi="Cambria"/>
          <w:i/>
        </w:rPr>
        <w:t xml:space="preserve">MAX IV Laboratory, </w:t>
      </w:r>
      <w:proofErr w:type="spellStart"/>
      <w:r w:rsidR="00FF7468" w:rsidRPr="00FF7468">
        <w:rPr>
          <w:rFonts w:ascii="Cambria" w:hAnsi="Cambria"/>
          <w:i/>
        </w:rPr>
        <w:t>Fotongatan</w:t>
      </w:r>
      <w:proofErr w:type="spellEnd"/>
      <w:r w:rsidR="00FF7468" w:rsidRPr="00FF7468">
        <w:rPr>
          <w:rFonts w:ascii="Cambria" w:hAnsi="Cambria"/>
          <w:i/>
        </w:rPr>
        <w:t xml:space="preserve"> 2, 225 94 Lund, Sweden</w:t>
      </w:r>
    </w:p>
    <w:p w14:paraId="0788D7EF" w14:textId="4A23735C" w:rsidR="00CD1258" w:rsidRPr="00CD1258" w:rsidRDefault="00CD1258" w:rsidP="00CD1258">
      <w:pPr>
        <w:widowControl w:val="0"/>
        <w:autoSpaceDE w:val="0"/>
        <w:autoSpaceDN w:val="0"/>
        <w:adjustRightInd w:val="0"/>
        <w:spacing w:after="240" w:line="520" w:lineRule="atLeast"/>
        <w:rPr>
          <w:rFonts w:ascii="Cambria" w:hAnsi="Cambria" w:cs="Times"/>
          <w:lang w:val="en-US"/>
        </w:rPr>
      </w:pPr>
      <w:r w:rsidRPr="00CD1258">
        <w:rPr>
          <w:rFonts w:ascii="Cambria" w:hAnsi="Cambria" w:cs="Times"/>
          <w:b/>
          <w:lang w:val="en-US"/>
        </w:rPr>
        <w:t>S.1</w:t>
      </w:r>
      <w:r>
        <w:rPr>
          <w:rFonts w:ascii="Cambria" w:hAnsi="Cambria" w:cs="Times"/>
          <w:lang w:val="en-US"/>
        </w:rPr>
        <w:t xml:space="preserve"> </w:t>
      </w:r>
      <w:r w:rsidRPr="00CD1258">
        <w:rPr>
          <w:rFonts w:ascii="Cambria" w:hAnsi="Cambria" w:cs="Times"/>
          <w:lang w:val="en-US"/>
        </w:rPr>
        <w:t xml:space="preserve">Experimental </w:t>
      </w:r>
    </w:p>
    <w:p w14:paraId="751FCD40" w14:textId="50E7E020" w:rsidR="00CD1258" w:rsidRPr="00A85C25" w:rsidRDefault="00CD1258" w:rsidP="00CD1258">
      <w:pPr>
        <w:widowControl w:val="0"/>
        <w:autoSpaceDE w:val="0"/>
        <w:autoSpaceDN w:val="0"/>
        <w:adjustRightInd w:val="0"/>
        <w:spacing w:after="240" w:line="360" w:lineRule="atLeast"/>
        <w:jc w:val="both"/>
        <w:rPr>
          <w:rFonts w:ascii="Cambria" w:hAnsi="Cambria" w:cs="Times"/>
          <w:lang w:val="en-US"/>
        </w:rPr>
      </w:pPr>
      <w:r w:rsidRPr="00CD1258">
        <w:rPr>
          <w:rFonts w:ascii="Cambria" w:hAnsi="Cambria" w:cs="Times"/>
          <w:lang w:val="en-US"/>
        </w:rPr>
        <w:t xml:space="preserve">The work was carried out on the bending magnet soft X-ray </w:t>
      </w:r>
      <w:proofErr w:type="spellStart"/>
      <w:r w:rsidRPr="00CD1258">
        <w:rPr>
          <w:rFonts w:ascii="Cambria" w:hAnsi="Cambria" w:cs="Times"/>
          <w:lang w:val="en-US"/>
        </w:rPr>
        <w:t>beamline</w:t>
      </w:r>
      <w:proofErr w:type="spellEnd"/>
      <w:r w:rsidRPr="00CD1258">
        <w:rPr>
          <w:rFonts w:ascii="Cambria" w:hAnsi="Cambria" w:cs="Times"/>
          <w:lang w:val="en-US"/>
        </w:rPr>
        <w:t xml:space="preserve">, D1011 (photon energy range 30 </w:t>
      </w:r>
      <w:proofErr w:type="spellStart"/>
      <w:r w:rsidRPr="00CD1258">
        <w:rPr>
          <w:rFonts w:ascii="Cambria" w:hAnsi="Cambria" w:cs="Times"/>
          <w:lang w:val="en-US"/>
        </w:rPr>
        <w:t>eV</w:t>
      </w:r>
      <w:proofErr w:type="spellEnd"/>
      <w:r w:rsidRPr="00CD1258">
        <w:rPr>
          <w:rFonts w:ascii="Cambria" w:hAnsi="Cambria" w:cs="Times"/>
          <w:lang w:val="en-US"/>
        </w:rPr>
        <w:t xml:space="preserve"> &lt; </w:t>
      </w:r>
      <w:proofErr w:type="spellStart"/>
      <w:r w:rsidRPr="00CD1258">
        <w:rPr>
          <w:rFonts w:ascii="Cambria" w:hAnsi="Cambria" w:cs="Times"/>
          <w:lang w:val="en-US"/>
        </w:rPr>
        <w:t>hν</w:t>
      </w:r>
      <w:proofErr w:type="spellEnd"/>
      <w:r w:rsidRPr="00CD1258">
        <w:rPr>
          <w:rFonts w:ascii="Cambria" w:hAnsi="Cambria" w:cs="Times"/>
          <w:lang w:val="en-US"/>
        </w:rPr>
        <w:t xml:space="preserve"> &lt; 1600 </w:t>
      </w:r>
      <w:proofErr w:type="spellStart"/>
      <w:r w:rsidRPr="00CD1258">
        <w:rPr>
          <w:rFonts w:ascii="Cambria" w:hAnsi="Cambria" w:cs="Times"/>
          <w:lang w:val="en-US"/>
        </w:rPr>
        <w:t>eV</w:t>
      </w:r>
      <w:proofErr w:type="spellEnd"/>
      <w:r w:rsidRPr="00CD1258">
        <w:rPr>
          <w:rFonts w:ascii="Cambria" w:hAnsi="Cambria" w:cs="Times"/>
          <w:lang w:val="en-US"/>
        </w:rPr>
        <w:t xml:space="preserve">) at MAX-lab, Sweden. The </w:t>
      </w:r>
      <w:proofErr w:type="spellStart"/>
      <w:r w:rsidRPr="00CD1258">
        <w:rPr>
          <w:rFonts w:ascii="Cambria" w:hAnsi="Cambria" w:cs="Times"/>
          <w:lang w:val="en-US"/>
        </w:rPr>
        <w:t>anatase</w:t>
      </w:r>
      <w:proofErr w:type="spellEnd"/>
      <w:r w:rsidRPr="00CD1258">
        <w:rPr>
          <w:rFonts w:ascii="Cambria" w:hAnsi="Cambria" w:cs="Times"/>
          <w:lang w:val="en-US"/>
        </w:rPr>
        <w:t xml:space="preserve"> </w:t>
      </w:r>
      <w:proofErr w:type="gramStart"/>
      <w:r w:rsidRPr="00CD1258">
        <w:rPr>
          <w:rFonts w:ascii="Cambria" w:hAnsi="Cambria" w:cs="Times"/>
          <w:lang w:val="en-US"/>
        </w:rPr>
        <w:t>Ti</w:t>
      </w:r>
      <w:r w:rsidR="004A4122">
        <w:rPr>
          <w:rFonts w:ascii="Cambria" w:hAnsi="Cambria" w:cs="Times"/>
          <w:lang w:val="en-US"/>
        </w:rPr>
        <w:t>O</w:t>
      </w:r>
      <w:r w:rsidR="004A4122" w:rsidRPr="004A4122">
        <w:rPr>
          <w:rFonts w:ascii="Cambria" w:hAnsi="Cambria" w:cs="Times"/>
          <w:vertAlign w:val="subscript"/>
          <w:lang w:val="en-US"/>
        </w:rPr>
        <w:t>2</w:t>
      </w:r>
      <w:r w:rsidRPr="00CD1258">
        <w:rPr>
          <w:rFonts w:ascii="Cambria" w:hAnsi="Cambria" w:cs="Times"/>
          <w:lang w:val="en-US"/>
        </w:rPr>
        <w:t>(</w:t>
      </w:r>
      <w:proofErr w:type="gramEnd"/>
      <w:r w:rsidRPr="00CD1258">
        <w:rPr>
          <w:rFonts w:ascii="Cambria" w:hAnsi="Cambria" w:cs="Times"/>
          <w:lang w:val="en-US"/>
        </w:rPr>
        <w:t xml:space="preserve">101) single crystal (5 mm x 5 mm, </w:t>
      </w:r>
      <w:proofErr w:type="spellStart"/>
      <w:r w:rsidRPr="00CD1258">
        <w:rPr>
          <w:rFonts w:ascii="Cambria" w:hAnsi="Cambria" w:cs="Times"/>
          <w:lang w:val="en-US"/>
        </w:rPr>
        <w:t>Pikem</w:t>
      </w:r>
      <w:proofErr w:type="spellEnd"/>
      <w:r w:rsidRPr="00CD1258">
        <w:rPr>
          <w:rFonts w:ascii="Cambria" w:hAnsi="Cambria" w:cs="Times"/>
          <w:lang w:val="en-US"/>
        </w:rPr>
        <w:t xml:space="preserve"> Ltd.), mounted on a Mo sample plate </w:t>
      </w:r>
      <w:r w:rsidRPr="004A4122">
        <w:rPr>
          <w:rFonts w:ascii="Cambria" w:hAnsi="Cambria" w:cs="Times"/>
          <w:lang w:val="en-US"/>
        </w:rPr>
        <w:t xml:space="preserve">using tantalum wire, was cleaned by repeated 1 </w:t>
      </w:r>
      <w:proofErr w:type="spellStart"/>
      <w:r w:rsidRPr="004A4122">
        <w:rPr>
          <w:rFonts w:ascii="Cambria" w:hAnsi="Cambria" w:cs="Times"/>
          <w:lang w:val="en-US"/>
        </w:rPr>
        <w:t>keV</w:t>
      </w:r>
      <w:proofErr w:type="spellEnd"/>
      <w:r w:rsidRPr="004A4122">
        <w:rPr>
          <w:rFonts w:ascii="Cambria" w:hAnsi="Cambria" w:cs="Times"/>
          <w:lang w:val="en-US"/>
        </w:rPr>
        <w:t xml:space="preserve"> </w:t>
      </w:r>
      <w:proofErr w:type="spellStart"/>
      <w:r w:rsidRPr="004A4122">
        <w:rPr>
          <w:rFonts w:ascii="Cambria" w:hAnsi="Cambria" w:cs="Times"/>
          <w:lang w:val="en-US"/>
        </w:rPr>
        <w:t>A</w:t>
      </w:r>
      <w:r w:rsidR="004A4122" w:rsidRPr="004A4122">
        <w:rPr>
          <w:rFonts w:ascii="Cambria" w:hAnsi="Cambria" w:cs="Times"/>
          <w:lang w:val="en-US"/>
        </w:rPr>
        <w:t>r</w:t>
      </w:r>
      <w:proofErr w:type="spellEnd"/>
      <w:r w:rsidR="004A4122" w:rsidRPr="004A4122">
        <w:rPr>
          <w:rFonts w:ascii="Cambria" w:hAnsi="Cambria" w:cs="Times"/>
          <w:vertAlign w:val="superscript"/>
          <w:lang w:val="en-US"/>
        </w:rPr>
        <w:t>+</w:t>
      </w:r>
      <w:r w:rsidRPr="004A4122">
        <w:rPr>
          <w:rFonts w:ascii="Cambria" w:hAnsi="Cambria" w:cs="Times"/>
          <w:position w:val="10"/>
          <w:lang w:val="en-US"/>
        </w:rPr>
        <w:t xml:space="preserve"> </w:t>
      </w:r>
      <w:r w:rsidRPr="004A4122">
        <w:rPr>
          <w:rFonts w:ascii="Cambria" w:hAnsi="Cambria" w:cs="Times"/>
          <w:lang w:val="en-US"/>
        </w:rPr>
        <w:t xml:space="preserve">ion bombardment and 700 </w:t>
      </w:r>
      <w:r w:rsidR="004A4122" w:rsidRPr="004A4122">
        <w:rPr>
          <w:rFonts w:ascii="Cambria" w:hAnsi="Cambria" w:cs="Lucida Grande"/>
          <w:b/>
          <w:color w:val="000000"/>
        </w:rPr>
        <w:t>°</w:t>
      </w:r>
      <w:r w:rsidRPr="004A4122">
        <w:rPr>
          <w:rFonts w:ascii="Cambria" w:hAnsi="Cambria" w:cs="Times"/>
          <w:lang w:val="en-US"/>
        </w:rPr>
        <w:t>C anneal cycles until a sharp 1 x 1 LEED pattern was obtained and XPS showed the surface</w:t>
      </w:r>
      <w:r w:rsidRPr="00CD1258">
        <w:rPr>
          <w:rFonts w:ascii="Cambria" w:hAnsi="Cambria" w:cs="Times"/>
          <w:lang w:val="en-US"/>
        </w:rPr>
        <w:t xml:space="preserve"> to be free of contamination (see s</w:t>
      </w:r>
      <w:r w:rsidR="00FE4397">
        <w:rPr>
          <w:rFonts w:ascii="Cambria" w:hAnsi="Cambria" w:cs="Times"/>
          <w:lang w:val="en-US"/>
        </w:rPr>
        <w:t>upporting information, figure S</w:t>
      </w:r>
      <w:r w:rsidR="004A4122">
        <w:rPr>
          <w:rFonts w:ascii="Cambria" w:hAnsi="Cambria" w:cs="Times"/>
          <w:lang w:val="en-US"/>
        </w:rPr>
        <w:t>.</w:t>
      </w:r>
      <w:r w:rsidR="00FE4397">
        <w:rPr>
          <w:rFonts w:ascii="Cambria" w:hAnsi="Cambria" w:cs="Times"/>
          <w:lang w:val="en-US"/>
        </w:rPr>
        <w:t>2</w:t>
      </w:r>
      <w:r w:rsidRPr="00CD1258">
        <w:rPr>
          <w:rFonts w:ascii="Cambria" w:hAnsi="Cambria" w:cs="Times"/>
          <w:lang w:val="en-US"/>
        </w:rPr>
        <w:t xml:space="preserve">). All photoemission spectra are recorded at normal emission at room temperature for core levels C 1s, N 1s, F 1s, B 1s, Ti 2p and O 1s at photon energies 385 </w:t>
      </w:r>
      <w:proofErr w:type="spellStart"/>
      <w:r w:rsidRPr="00CD1258">
        <w:rPr>
          <w:rFonts w:ascii="Cambria" w:hAnsi="Cambria" w:cs="Times"/>
          <w:lang w:val="en-US"/>
        </w:rPr>
        <w:t>eV</w:t>
      </w:r>
      <w:proofErr w:type="spellEnd"/>
      <w:r w:rsidRPr="00CD1258">
        <w:rPr>
          <w:rFonts w:ascii="Cambria" w:hAnsi="Cambria" w:cs="Times"/>
          <w:lang w:val="en-US"/>
        </w:rPr>
        <w:t xml:space="preserve">, 500 </w:t>
      </w:r>
      <w:proofErr w:type="spellStart"/>
      <w:r w:rsidRPr="00CD1258">
        <w:rPr>
          <w:rFonts w:ascii="Cambria" w:hAnsi="Cambria" w:cs="Times"/>
          <w:lang w:val="en-US"/>
        </w:rPr>
        <w:t>eV</w:t>
      </w:r>
      <w:proofErr w:type="spellEnd"/>
      <w:r w:rsidRPr="00CD1258">
        <w:rPr>
          <w:rFonts w:ascii="Cambria" w:hAnsi="Cambria" w:cs="Times"/>
          <w:lang w:val="en-US"/>
        </w:rPr>
        <w:t xml:space="preserve">, 790 </w:t>
      </w:r>
      <w:proofErr w:type="spellStart"/>
      <w:r w:rsidRPr="00CD1258">
        <w:rPr>
          <w:rFonts w:ascii="Cambria" w:hAnsi="Cambria" w:cs="Times"/>
          <w:lang w:val="en-US"/>
        </w:rPr>
        <w:t>eV</w:t>
      </w:r>
      <w:proofErr w:type="spellEnd"/>
      <w:r w:rsidRPr="00CD1258">
        <w:rPr>
          <w:rFonts w:ascii="Cambria" w:hAnsi="Cambria" w:cs="Times"/>
          <w:lang w:val="en-US"/>
        </w:rPr>
        <w:t xml:space="preserve">, 300 </w:t>
      </w:r>
      <w:proofErr w:type="spellStart"/>
      <w:r w:rsidRPr="00CD1258">
        <w:rPr>
          <w:rFonts w:ascii="Cambria" w:hAnsi="Cambria" w:cs="Times"/>
          <w:lang w:val="en-US"/>
        </w:rPr>
        <w:t>eV</w:t>
      </w:r>
      <w:proofErr w:type="spellEnd"/>
      <w:r w:rsidRPr="00CD1258">
        <w:rPr>
          <w:rFonts w:ascii="Cambria" w:hAnsi="Cambria" w:cs="Times"/>
          <w:lang w:val="en-US"/>
        </w:rPr>
        <w:t xml:space="preserve">, 570 </w:t>
      </w:r>
      <w:proofErr w:type="spellStart"/>
      <w:r w:rsidRPr="00CD1258">
        <w:rPr>
          <w:rFonts w:ascii="Cambria" w:hAnsi="Cambria" w:cs="Times"/>
          <w:lang w:val="en-US"/>
        </w:rPr>
        <w:t>eV</w:t>
      </w:r>
      <w:proofErr w:type="spellEnd"/>
      <w:r w:rsidRPr="00CD1258">
        <w:rPr>
          <w:rFonts w:ascii="Cambria" w:hAnsi="Cambria" w:cs="Times"/>
          <w:lang w:val="en-US"/>
        </w:rPr>
        <w:t xml:space="preserve"> and 650 </w:t>
      </w:r>
      <w:proofErr w:type="spellStart"/>
      <w:r w:rsidRPr="00CD1258">
        <w:rPr>
          <w:rFonts w:ascii="Cambria" w:hAnsi="Cambria" w:cs="Times"/>
          <w:lang w:val="en-US"/>
        </w:rPr>
        <w:t>eV</w:t>
      </w:r>
      <w:proofErr w:type="spellEnd"/>
      <w:r w:rsidRPr="00CD1258">
        <w:rPr>
          <w:rFonts w:ascii="Cambria" w:hAnsi="Cambria" w:cs="Times"/>
          <w:lang w:val="en-US"/>
        </w:rPr>
        <w:t xml:space="preserve"> respectively. Photoemission spectra are aligned on the binding energy (BE) scale relative to the Ti 2</w:t>
      </w:r>
      <w:r w:rsidR="00FE4397">
        <w:rPr>
          <w:rFonts w:ascii="Cambria" w:hAnsi="Cambria" w:cs="Times"/>
          <w:lang w:val="en-US"/>
        </w:rPr>
        <w:t>p 3/2</w:t>
      </w:r>
      <w:r w:rsidRPr="00CD1258">
        <w:rPr>
          <w:rFonts w:ascii="Cambria" w:hAnsi="Cambria" w:cs="Times"/>
          <w:position w:val="-6"/>
          <w:lang w:val="en-US"/>
        </w:rPr>
        <w:t xml:space="preserve"> </w:t>
      </w:r>
      <w:r w:rsidRPr="00CD1258">
        <w:rPr>
          <w:rFonts w:ascii="Cambria" w:hAnsi="Cambria" w:cs="Times"/>
          <w:lang w:val="en-US"/>
        </w:rPr>
        <w:t xml:space="preserve">peak at 459.2 </w:t>
      </w:r>
      <w:proofErr w:type="spellStart"/>
      <w:r w:rsidRPr="00CD1258">
        <w:rPr>
          <w:rFonts w:ascii="Cambria" w:hAnsi="Cambria" w:cs="Times"/>
          <w:lang w:val="en-US"/>
        </w:rPr>
        <w:t>eV</w:t>
      </w:r>
      <w:proofErr w:type="spellEnd"/>
      <w:r w:rsidRPr="00CD1258">
        <w:rPr>
          <w:rFonts w:ascii="Cambria" w:hAnsi="Cambria" w:cs="Times"/>
          <w:lang w:val="en-US"/>
        </w:rPr>
        <w:t xml:space="preserve">, corresponding to Ti in the 4+ oxidation state. NEXAFS spectra were recorded, using a multichannel partial yield detector, over both the N K-edge and the C K-edge with incident photon angles, θ, measured relative to the substrate surface plane, </w:t>
      </w:r>
      <w:r w:rsidRPr="00A85C25">
        <w:rPr>
          <w:rFonts w:ascii="Cambria" w:hAnsi="Cambria" w:cs="Times"/>
          <w:lang w:val="en-US"/>
        </w:rPr>
        <w:t>ranging between 30</w:t>
      </w:r>
      <w:r w:rsidR="004A4122" w:rsidRPr="00A85C25">
        <w:rPr>
          <w:rFonts w:ascii="Cambria" w:hAnsi="Cambria" w:cs="Lucida Grande"/>
          <w:b/>
          <w:color w:val="000000"/>
        </w:rPr>
        <w:t>°</w:t>
      </w:r>
      <w:r w:rsidRPr="00A85C25">
        <w:rPr>
          <w:rFonts w:ascii="Cambria" w:hAnsi="Cambria" w:cs="Times"/>
          <w:position w:val="10"/>
          <w:lang w:val="en-US"/>
        </w:rPr>
        <w:t xml:space="preserve"> </w:t>
      </w:r>
      <w:r w:rsidRPr="00A85C25">
        <w:rPr>
          <w:rFonts w:ascii="Cambria" w:hAnsi="Cambria" w:cs="Times"/>
          <w:lang w:val="en-US"/>
        </w:rPr>
        <w:t>and 90</w:t>
      </w:r>
      <w:r w:rsidR="004A4122" w:rsidRPr="00A85C25">
        <w:rPr>
          <w:rFonts w:ascii="Cambria" w:hAnsi="Cambria" w:cs="Lucida Grande"/>
          <w:b/>
          <w:color w:val="000000"/>
        </w:rPr>
        <w:t>°</w:t>
      </w:r>
      <w:r w:rsidRPr="00A85C25">
        <w:rPr>
          <w:rFonts w:ascii="Cambria" w:hAnsi="Cambria" w:cs="Times"/>
          <w:lang w:val="en-US"/>
        </w:rPr>
        <w:t>, in increments of 10</w:t>
      </w:r>
      <w:r w:rsidR="004A4122" w:rsidRPr="00A85C25">
        <w:rPr>
          <w:rFonts w:ascii="Cambria" w:hAnsi="Cambria" w:cs="Lucida Grande"/>
          <w:b/>
          <w:color w:val="000000"/>
        </w:rPr>
        <w:t>°</w:t>
      </w:r>
      <w:r w:rsidRPr="00A85C25">
        <w:rPr>
          <w:rFonts w:ascii="Cambria" w:hAnsi="Cambria" w:cs="Times"/>
          <w:lang w:val="en-US"/>
        </w:rPr>
        <w:t xml:space="preserve">. The partial yield detector was tuned to retard electrons with a kinetic energy of less than 200 </w:t>
      </w:r>
      <w:proofErr w:type="spellStart"/>
      <w:r w:rsidRPr="00A85C25">
        <w:rPr>
          <w:rFonts w:ascii="Cambria" w:hAnsi="Cambria" w:cs="Times"/>
          <w:lang w:val="en-US"/>
        </w:rPr>
        <w:t>eV</w:t>
      </w:r>
      <w:proofErr w:type="spellEnd"/>
      <w:r w:rsidRPr="00A85C25">
        <w:rPr>
          <w:rFonts w:ascii="Cambria" w:hAnsi="Cambria" w:cs="Times"/>
          <w:lang w:val="en-US"/>
        </w:rPr>
        <w:t xml:space="preserve">. </w:t>
      </w:r>
      <w:r w:rsidR="00A85C25" w:rsidRPr="00A85C25">
        <w:rPr>
          <w:rFonts w:ascii="Cambria" w:hAnsi="Cambria" w:cs="Times"/>
          <w:lang w:val="en-US"/>
        </w:rPr>
        <w:t xml:space="preserve">Data were recorded with the surface component of the electric vector of the incident radiation at 15 </w:t>
      </w:r>
      <w:r w:rsidR="00A85C25" w:rsidRPr="00A85C25">
        <w:rPr>
          <w:rFonts w:ascii="Cambria" w:hAnsi="Cambria" w:cs="Lucida Grande"/>
          <w:color w:val="000000"/>
        </w:rPr>
        <w:t>° from the [10</w:t>
      </w:r>
      <m:oMath>
        <m:acc>
          <m:accPr>
            <m:chr m:val="̅"/>
            <m:ctrlPr>
              <w:rPr>
                <w:rFonts w:ascii="Cambria Math" w:hAnsi="Cambria Math" w:cs="Lucida Grande"/>
                <w:i/>
                <w:color w:val="000000"/>
              </w:rPr>
            </m:ctrlPr>
          </m:accPr>
          <m:e>
            <m:r>
              <w:rPr>
                <w:rFonts w:ascii="Cambria Math" w:hAnsi="Cambria Math" w:cs="Lucida Grande"/>
                <w:color w:val="000000"/>
              </w:rPr>
              <m:t>1</m:t>
            </m:r>
          </m:e>
        </m:acc>
      </m:oMath>
      <w:r w:rsidR="00A85C25" w:rsidRPr="00A85C25">
        <w:rPr>
          <w:rFonts w:ascii="Cambria" w:hAnsi="Cambria" w:cs="Lucida Grande"/>
          <w:color w:val="000000"/>
        </w:rPr>
        <w:t>] azimuth</w:t>
      </w:r>
      <w:r w:rsidR="00F65250">
        <w:rPr>
          <w:rFonts w:ascii="Cambria" w:hAnsi="Cambria" w:cs="Lucida Grande"/>
          <w:color w:val="000000"/>
        </w:rPr>
        <w:t xml:space="preserve"> </w:t>
      </w:r>
      <w:proofErr w:type="gramStart"/>
      <w:r w:rsidR="00F65250">
        <w:rPr>
          <w:rFonts w:ascii="Cambria" w:hAnsi="Cambria" w:cs="Lucida Grande"/>
          <w:color w:val="000000"/>
        </w:rPr>
        <w:t xml:space="preserve">with </w:t>
      </w:r>
      <w:r w:rsidR="00A85C25">
        <w:rPr>
          <w:rFonts w:ascii="Cambria" w:hAnsi="Cambria" w:cs="Lucida Grande"/>
          <w:color w:val="000000"/>
        </w:rPr>
        <w:t xml:space="preserve"> 9</w:t>
      </w:r>
      <w:r w:rsidR="00F65250">
        <w:rPr>
          <w:rFonts w:ascii="Cambria" w:hAnsi="Cambria" w:cs="Lucida Grande"/>
          <w:color w:val="000000"/>
        </w:rPr>
        <w:t>0</w:t>
      </w:r>
      <w:proofErr w:type="gramEnd"/>
      <w:r w:rsidR="00A85C25">
        <w:rPr>
          <w:rFonts w:ascii="Cambria" w:hAnsi="Cambria" w:cs="Lucida Grande"/>
          <w:color w:val="000000"/>
        </w:rPr>
        <w:t>%.</w:t>
      </w:r>
      <w:r w:rsidR="00F65250">
        <w:rPr>
          <w:rFonts w:ascii="Cambria" w:hAnsi="Cambria" w:cs="Lucida Grande"/>
          <w:color w:val="000000"/>
        </w:rPr>
        <w:t xml:space="preserve"> Horizontal polarization</w:t>
      </w:r>
    </w:p>
    <w:p w14:paraId="12BA722B" w14:textId="2AC633AF" w:rsidR="00463B4C" w:rsidRPr="00463B4C" w:rsidRDefault="00CD1258" w:rsidP="00CD1258">
      <w:pPr>
        <w:widowControl w:val="0"/>
        <w:autoSpaceDE w:val="0"/>
        <w:autoSpaceDN w:val="0"/>
        <w:adjustRightInd w:val="0"/>
        <w:spacing w:after="240" w:line="360" w:lineRule="atLeast"/>
        <w:jc w:val="both"/>
        <w:rPr>
          <w:rFonts w:ascii="Cambria" w:hAnsi="Cambria" w:cs="Times"/>
          <w:lang w:val="en-US"/>
        </w:rPr>
      </w:pPr>
      <w:r w:rsidRPr="00A85C25">
        <w:rPr>
          <w:rFonts w:ascii="Cambria" w:hAnsi="Cambria" w:cs="Times"/>
          <w:lang w:val="en-US"/>
        </w:rPr>
        <w:t>The ionic liquid [C</w:t>
      </w:r>
      <w:r w:rsidRPr="00A85C25">
        <w:rPr>
          <w:rFonts w:ascii="Cambria" w:hAnsi="Cambria" w:cs="Times"/>
          <w:position w:val="-6"/>
          <w:lang w:val="en-US"/>
        </w:rPr>
        <w:t>4</w:t>
      </w:r>
      <w:r w:rsidRPr="00A85C25">
        <w:rPr>
          <w:rFonts w:ascii="Cambria" w:hAnsi="Cambria" w:cs="Times"/>
          <w:lang w:val="en-US"/>
        </w:rPr>
        <w:t>C</w:t>
      </w:r>
      <w:r w:rsidRPr="00A85C25">
        <w:rPr>
          <w:rFonts w:ascii="Cambria" w:hAnsi="Cambria" w:cs="Times"/>
          <w:position w:val="-6"/>
          <w:lang w:val="en-US"/>
        </w:rPr>
        <w:t>1</w:t>
      </w:r>
      <w:proofErr w:type="spellStart"/>
      <w:r w:rsidRPr="00A85C25">
        <w:rPr>
          <w:rFonts w:ascii="Cambria" w:hAnsi="Cambria" w:cs="Times"/>
          <w:lang w:val="en-US"/>
        </w:rPr>
        <w:t>Im</w:t>
      </w:r>
      <w:proofErr w:type="spellEnd"/>
      <w:r w:rsidRPr="00A85C25">
        <w:rPr>
          <w:rFonts w:ascii="Cambria" w:hAnsi="Cambria" w:cs="Times"/>
          <w:lang w:val="en-US"/>
        </w:rPr>
        <w:t>][BF</w:t>
      </w:r>
      <w:r w:rsidRPr="00A85C25">
        <w:rPr>
          <w:rFonts w:ascii="Cambria" w:hAnsi="Cambria" w:cs="Times"/>
          <w:position w:val="-6"/>
          <w:lang w:val="en-US"/>
        </w:rPr>
        <w:t>4</w:t>
      </w:r>
      <w:r w:rsidRPr="00A85C25">
        <w:rPr>
          <w:rFonts w:ascii="Cambria" w:hAnsi="Cambria" w:cs="Times"/>
          <w:lang w:val="en-US"/>
        </w:rPr>
        <w:t xml:space="preserve">] (≥98%, Sigma-Aldrich), shown in figure 1, was deposited on the </w:t>
      </w:r>
      <w:proofErr w:type="spellStart"/>
      <w:r w:rsidRPr="00A85C25">
        <w:rPr>
          <w:rFonts w:ascii="Cambria" w:hAnsi="Cambria" w:cs="Times"/>
          <w:lang w:val="en-US"/>
        </w:rPr>
        <w:t>anatase</w:t>
      </w:r>
      <w:proofErr w:type="spellEnd"/>
      <w:r w:rsidRPr="00A85C25">
        <w:rPr>
          <w:rFonts w:ascii="Cambria" w:hAnsi="Cambria" w:cs="Times"/>
          <w:lang w:val="en-US"/>
        </w:rPr>
        <w:t xml:space="preserve"> </w:t>
      </w:r>
      <w:proofErr w:type="gramStart"/>
      <w:r w:rsidRPr="00A85C25">
        <w:rPr>
          <w:rFonts w:ascii="Cambria" w:hAnsi="Cambria" w:cs="Times"/>
          <w:lang w:val="en-US"/>
        </w:rPr>
        <w:t>Ti</w:t>
      </w:r>
      <w:r w:rsidR="004A4122" w:rsidRPr="00A85C25">
        <w:rPr>
          <w:rFonts w:ascii="Cambria" w:hAnsi="Cambria" w:cs="Times"/>
          <w:lang w:val="en-US"/>
        </w:rPr>
        <w:t>O</w:t>
      </w:r>
      <w:r w:rsidR="004A4122" w:rsidRPr="00A85C25">
        <w:rPr>
          <w:rFonts w:ascii="Cambria" w:hAnsi="Cambria" w:cs="Times"/>
          <w:vertAlign w:val="subscript"/>
          <w:lang w:val="en-US"/>
        </w:rPr>
        <w:t>2</w:t>
      </w:r>
      <w:r w:rsidRPr="00A85C25">
        <w:rPr>
          <w:rFonts w:ascii="Cambria" w:hAnsi="Cambria" w:cs="Times"/>
          <w:lang w:val="en-US"/>
        </w:rPr>
        <w:t>(</w:t>
      </w:r>
      <w:proofErr w:type="gramEnd"/>
      <w:r w:rsidRPr="00A85C25">
        <w:rPr>
          <w:rFonts w:ascii="Cambria" w:hAnsi="Cambria" w:cs="Times"/>
          <w:lang w:val="en-US"/>
        </w:rPr>
        <w:t xml:space="preserve">101) surface via thermal evaporation from an </w:t>
      </w:r>
      <w:r w:rsidRPr="00CD1258">
        <w:rPr>
          <w:rFonts w:ascii="Cambria" w:hAnsi="Cambria" w:cs="Times"/>
          <w:lang w:val="en-US"/>
        </w:rPr>
        <w:t xml:space="preserve">evaporator. The ionic liquid was held in a glass crucible in a small vacuum chamber separated from the analysis chamber by a valve. The IL was slowly heated to the </w:t>
      </w:r>
      <w:r w:rsidRPr="00CD1258">
        <w:rPr>
          <w:rFonts w:ascii="Cambria" w:hAnsi="Cambria" w:cs="Times"/>
          <w:lang w:val="en-US"/>
        </w:rPr>
        <w:lastRenderedPageBreak/>
        <w:t xml:space="preserve">evaporation temperature over a period of several hours in order to remove dissolved gases and water. Once the evaporation temperature of 220 </w:t>
      </w:r>
      <w:r w:rsidR="004A4122" w:rsidRPr="004A4122">
        <w:rPr>
          <w:rFonts w:ascii="Cambria" w:hAnsi="Cambria" w:cs="Lucida Grande"/>
          <w:b/>
          <w:color w:val="000000"/>
        </w:rPr>
        <w:t>°</w:t>
      </w:r>
      <w:r w:rsidRPr="00CD1258">
        <w:rPr>
          <w:rFonts w:ascii="Cambria" w:hAnsi="Cambria" w:cs="Times"/>
          <w:lang w:val="en-US"/>
        </w:rPr>
        <w:t>C had been reached, a valve was opened to the chamber and, with the sample facing the evaporator, IL vapor was admitted to the vacuum chamber. The preparation chamber pressure rose to a maximum of 3 x 1</w:t>
      </w:r>
      <w:r w:rsidR="004A4122">
        <w:rPr>
          <w:rFonts w:ascii="Cambria" w:hAnsi="Cambria" w:cs="Times"/>
          <w:lang w:val="en-US"/>
        </w:rPr>
        <w:t>0</w:t>
      </w:r>
      <w:r w:rsidR="004A4122" w:rsidRPr="004A4122">
        <w:rPr>
          <w:rFonts w:ascii="Cambria" w:hAnsi="Cambria" w:cs="Times"/>
          <w:vertAlign w:val="superscript"/>
          <w:lang w:val="en-US"/>
        </w:rPr>
        <w:t>-7</w:t>
      </w:r>
      <w:r w:rsidRPr="00CD1258">
        <w:rPr>
          <w:rFonts w:ascii="Cambria" w:hAnsi="Cambria" w:cs="Times"/>
          <w:position w:val="10"/>
          <w:lang w:val="en-US"/>
        </w:rPr>
        <w:t xml:space="preserve"> </w:t>
      </w:r>
      <w:r w:rsidRPr="00CD1258">
        <w:rPr>
          <w:rFonts w:ascii="Cambria" w:hAnsi="Cambria" w:cs="Times"/>
          <w:lang w:val="en-US"/>
        </w:rPr>
        <w:t>mbar during evaporation. To obtain a thin layer of ionic liquid on the surface, the substrate was kept at room temperature</w:t>
      </w:r>
      <w:r w:rsidR="000E1A7D">
        <w:rPr>
          <w:rFonts w:ascii="Cambria" w:hAnsi="Cambria" w:cs="Times"/>
          <w:lang w:val="en-US"/>
        </w:rPr>
        <w:t xml:space="preserve"> for 5 minutes</w:t>
      </w:r>
      <w:r w:rsidRPr="00CD1258">
        <w:rPr>
          <w:rFonts w:ascii="Cambria" w:hAnsi="Cambria" w:cs="Times"/>
          <w:lang w:val="en-US"/>
        </w:rPr>
        <w:t>.</w:t>
      </w:r>
      <w:r w:rsidR="000E1A7D">
        <w:rPr>
          <w:rFonts w:ascii="Cambria" w:hAnsi="Cambria" w:cs="Times"/>
          <w:lang w:val="en-US"/>
        </w:rPr>
        <w:t xml:space="preserve"> Thicker, multilayer films could be obtained by exposing for longer times but in</w:t>
      </w:r>
      <w:r w:rsidRPr="00CD1258">
        <w:rPr>
          <w:rFonts w:ascii="Cambria" w:hAnsi="Cambria" w:cs="Times"/>
          <w:lang w:val="en-US"/>
        </w:rPr>
        <w:t xml:space="preserve"> order to obtain a multilayer film in which photoemission signal from the substrate was completely attenuated, the substrate was cooled to -150 </w:t>
      </w:r>
      <w:r w:rsidR="004A4122" w:rsidRPr="004A4122">
        <w:rPr>
          <w:rFonts w:ascii="Cambria" w:hAnsi="Cambria" w:cs="Lucida Grande"/>
          <w:b/>
          <w:color w:val="000000"/>
        </w:rPr>
        <w:t>°</w:t>
      </w:r>
      <w:r w:rsidRPr="00CD1258">
        <w:rPr>
          <w:rFonts w:ascii="Cambria" w:hAnsi="Cambria" w:cs="Times"/>
          <w:lang w:val="en-US"/>
        </w:rPr>
        <w:t xml:space="preserve">C using liquid </w:t>
      </w:r>
      <w:r w:rsidR="004A4122">
        <w:rPr>
          <w:rFonts w:ascii="Cambria" w:hAnsi="Cambria" w:cs="Times"/>
          <w:lang w:val="en-US"/>
        </w:rPr>
        <w:t>N</w:t>
      </w:r>
      <w:r w:rsidR="004A4122" w:rsidRPr="004A4122">
        <w:rPr>
          <w:rFonts w:ascii="Cambria" w:hAnsi="Cambria" w:cs="Times"/>
          <w:vertAlign w:val="subscript"/>
          <w:lang w:val="en-US"/>
        </w:rPr>
        <w:t>2</w:t>
      </w:r>
      <w:r w:rsidRPr="00CD1258">
        <w:rPr>
          <w:rFonts w:ascii="Cambria" w:hAnsi="Cambria" w:cs="Times"/>
          <w:position w:val="-6"/>
          <w:lang w:val="en-US"/>
        </w:rPr>
        <w:t xml:space="preserve"> </w:t>
      </w:r>
      <w:r w:rsidRPr="00CD1258">
        <w:rPr>
          <w:rFonts w:ascii="Cambria" w:hAnsi="Cambria" w:cs="Times"/>
          <w:lang w:val="en-US"/>
        </w:rPr>
        <w:t>(L</w:t>
      </w:r>
      <w:r w:rsidR="004A4122">
        <w:rPr>
          <w:rFonts w:ascii="Cambria" w:hAnsi="Cambria" w:cs="Times"/>
          <w:lang w:val="en-US"/>
        </w:rPr>
        <w:t>N</w:t>
      </w:r>
      <w:r w:rsidR="004A4122" w:rsidRPr="004A4122">
        <w:rPr>
          <w:rFonts w:ascii="Cambria" w:hAnsi="Cambria" w:cs="Times"/>
          <w:vertAlign w:val="subscript"/>
          <w:lang w:val="en-US"/>
        </w:rPr>
        <w:t>2</w:t>
      </w:r>
      <w:r w:rsidRPr="00CD1258">
        <w:rPr>
          <w:rFonts w:ascii="Cambria" w:hAnsi="Cambria" w:cs="Times"/>
          <w:lang w:val="en-US"/>
        </w:rPr>
        <w:t>)</w:t>
      </w:r>
      <w:r w:rsidR="000E1A7D">
        <w:rPr>
          <w:rFonts w:ascii="Cambria" w:hAnsi="Cambria" w:cs="Times"/>
          <w:lang w:val="en-US"/>
        </w:rPr>
        <w:t xml:space="preserve"> to reduce the time required to form this film. Measurements from the resulting 30 Å film were also made at -150 °C</w:t>
      </w:r>
      <w:bookmarkStart w:id="0" w:name="_GoBack"/>
      <w:bookmarkEnd w:id="0"/>
      <w:r w:rsidRPr="00CD1258">
        <w:rPr>
          <w:rFonts w:ascii="Cambria" w:hAnsi="Cambria" w:cs="Times"/>
          <w:lang w:val="en-US"/>
        </w:rPr>
        <w:t xml:space="preserve">. </w:t>
      </w:r>
      <w:r w:rsidR="00463B4C">
        <w:rPr>
          <w:rFonts w:ascii="Cambria" w:hAnsi="Cambria" w:cs="Times"/>
          <w:lang w:val="en-US"/>
        </w:rPr>
        <w:t xml:space="preserve"> </w:t>
      </w:r>
      <w:r w:rsidR="00463B4C" w:rsidRPr="00463B4C">
        <w:rPr>
          <w:rFonts w:ascii="Cambria" w:hAnsi="Cambria" w:cs="Arial"/>
          <w:lang w:val="en-US"/>
        </w:rPr>
        <w:t xml:space="preserve">Core level spectra were fitted with </w:t>
      </w:r>
      <w:proofErr w:type="spellStart"/>
      <w:r w:rsidR="00463B4C" w:rsidRPr="00463B4C">
        <w:rPr>
          <w:rFonts w:ascii="Cambria" w:hAnsi="Cambria" w:cs="Arial"/>
          <w:lang w:val="en-US"/>
        </w:rPr>
        <w:t>Gaussian</w:t>
      </w:r>
      <w:proofErr w:type="gramStart"/>
      <w:r w:rsidR="00463B4C" w:rsidRPr="00463B4C">
        <w:rPr>
          <w:rFonts w:ascii="Cambria" w:hAnsi="Cambria" w:cs="Arial"/>
          <w:lang w:val="en-US"/>
        </w:rPr>
        <w:t>:Lorentzian</w:t>
      </w:r>
      <w:proofErr w:type="spellEnd"/>
      <w:proofErr w:type="gramEnd"/>
      <w:r w:rsidR="00463B4C" w:rsidRPr="00463B4C">
        <w:rPr>
          <w:rFonts w:ascii="Cambria" w:hAnsi="Cambria" w:cs="Arial"/>
          <w:lang w:val="en-US"/>
        </w:rPr>
        <w:t xml:space="preserve"> curves (0.7:0.3) and a Shirley background. The mean free path length, λ, of photoelectrons in [C</w:t>
      </w:r>
      <w:r w:rsidR="00463B4C" w:rsidRPr="00463B4C">
        <w:rPr>
          <w:rFonts w:ascii="Cambria" w:hAnsi="Cambria" w:cs="Arial"/>
          <w:vertAlign w:val="subscript"/>
          <w:lang w:val="en-US"/>
        </w:rPr>
        <w:t>4</w:t>
      </w:r>
      <w:r w:rsidR="00463B4C" w:rsidRPr="00463B4C">
        <w:rPr>
          <w:rFonts w:ascii="Cambria" w:hAnsi="Cambria" w:cs="Arial"/>
          <w:lang w:val="en-US"/>
        </w:rPr>
        <w:t>C</w:t>
      </w:r>
      <w:r w:rsidR="00463B4C" w:rsidRPr="00463B4C">
        <w:rPr>
          <w:rFonts w:ascii="Cambria" w:hAnsi="Cambria" w:cs="Arial"/>
          <w:vertAlign w:val="subscript"/>
          <w:lang w:val="en-US"/>
        </w:rPr>
        <w:t>1</w:t>
      </w:r>
      <w:r w:rsidR="00463B4C" w:rsidRPr="00463B4C">
        <w:rPr>
          <w:rFonts w:ascii="Cambria" w:hAnsi="Cambria" w:cs="Arial"/>
          <w:lang w:val="en-US"/>
        </w:rPr>
        <w:t>Im][BF</w:t>
      </w:r>
      <w:r w:rsidR="00463B4C" w:rsidRPr="00463B4C">
        <w:rPr>
          <w:rFonts w:ascii="Cambria" w:hAnsi="Cambria" w:cs="Arial"/>
          <w:vertAlign w:val="subscript"/>
          <w:lang w:val="en-US"/>
        </w:rPr>
        <w:t>4</w:t>
      </w:r>
      <w:r w:rsidR="00463B4C" w:rsidRPr="00463B4C">
        <w:rPr>
          <w:rFonts w:ascii="Cambria" w:hAnsi="Cambria" w:cs="Arial"/>
          <w:lang w:val="en-US"/>
        </w:rPr>
        <w:t>] can be determined using the TPP-2M calculation,</w:t>
      </w:r>
      <w:r w:rsidR="00463B4C" w:rsidRPr="00463B4C">
        <w:rPr>
          <w:rFonts w:ascii="Cambria" w:hAnsi="Cambria" w:cs="Arial"/>
          <w:position w:val="10"/>
          <w:lang w:val="en-US"/>
        </w:rPr>
        <w:t xml:space="preserve"> </w:t>
      </w:r>
      <w:r w:rsidR="00463B4C" w:rsidRPr="00463B4C">
        <w:rPr>
          <w:rFonts w:ascii="Cambria" w:hAnsi="Cambria" w:cs="Arial"/>
          <w:lang w:val="en-US"/>
        </w:rPr>
        <w:t xml:space="preserve">giving a mean free path length of around 8 Å, at a KE of 110 </w:t>
      </w:r>
      <w:proofErr w:type="spellStart"/>
      <w:r w:rsidR="00463B4C" w:rsidRPr="00463B4C">
        <w:rPr>
          <w:rFonts w:ascii="Cambria" w:hAnsi="Cambria" w:cs="Arial"/>
          <w:lang w:val="en-US"/>
        </w:rPr>
        <w:t>eV</w:t>
      </w:r>
      <w:proofErr w:type="spellEnd"/>
      <w:r w:rsidR="00463B4C" w:rsidRPr="00463B4C">
        <w:rPr>
          <w:rFonts w:ascii="Cambria" w:hAnsi="Cambria" w:cs="Arial"/>
          <w:lang w:val="en-US"/>
        </w:rPr>
        <w:t>, which corresponds to the KE of Ti 2p photoelectrons in this work.</w:t>
      </w:r>
      <w:r w:rsidR="00463B4C">
        <w:rPr>
          <w:rFonts w:ascii="Cambria" w:hAnsi="Cambria" w:cs="Arial"/>
          <w:lang w:val="en-US"/>
        </w:rPr>
        <w:fldChar w:fldCharType="begin" w:fldLock="1"/>
      </w:r>
      <w:r w:rsidR="00463B4C">
        <w:rPr>
          <w:rFonts w:ascii="Cambria" w:hAnsi="Cambria" w:cs="Arial"/>
          <w:lang w:val="en-US"/>
        </w:rPr>
        <w:instrText>ADDIN CSL_CITATION { "citationItems" : [ { "id" : "ITEM-1", "itemData" : { "author" : [ { "dropping-particle" : "", "family" : "Jablonski", "given" : "A.", "non-dropping-particle" : "", "parse-names" : false, "suffix" : "" } ], "container-title" : "National Institute of Standards and Technology", "id" : "ITEM-1", "issued" : { "date-parts" : [ [ "2010" ] ] }, "title" : "NIST Electron Inelastic-Mean-Free-Path Database.", "type" : "article-journal" }, "uris" : [ "http://www.mendeley.com/documents/?uuid=6afdf7dc-b86a-4d6d-847d-f68462f4a658" ] } ], "mendeley" : { "formattedCitation" : "&lt;sup&gt;[1]&lt;/sup&gt;", "plainTextFormattedCitation" : "[1]", "previouslyFormattedCitation" : "&lt;sup&gt;[1]&lt;/sup&gt;" }, "properties" : { "noteIndex" : 0 }, "schema" : "https://github.com/citation-style-language/schema/raw/master/csl-citation.json" }</w:instrText>
      </w:r>
      <w:r w:rsidR="00463B4C">
        <w:rPr>
          <w:rFonts w:ascii="Cambria" w:hAnsi="Cambria" w:cs="Arial"/>
          <w:lang w:val="en-US"/>
        </w:rPr>
        <w:fldChar w:fldCharType="separate"/>
      </w:r>
      <w:r w:rsidR="00463B4C" w:rsidRPr="00463B4C">
        <w:rPr>
          <w:rFonts w:ascii="Cambria" w:hAnsi="Cambria" w:cs="Arial"/>
          <w:noProof/>
          <w:vertAlign w:val="superscript"/>
          <w:lang w:val="en-US"/>
        </w:rPr>
        <w:t>[1]</w:t>
      </w:r>
      <w:r w:rsidR="00463B4C">
        <w:rPr>
          <w:rFonts w:ascii="Cambria" w:hAnsi="Cambria" w:cs="Arial"/>
          <w:lang w:val="en-US"/>
        </w:rPr>
        <w:fldChar w:fldCharType="end"/>
      </w:r>
    </w:p>
    <w:p w14:paraId="0EC5AC0E" w14:textId="681E147C" w:rsidR="008274ED" w:rsidRPr="008274ED" w:rsidRDefault="008274ED" w:rsidP="00DD59AD">
      <w:pPr>
        <w:widowControl w:val="0"/>
        <w:autoSpaceDE w:val="0"/>
        <w:autoSpaceDN w:val="0"/>
        <w:adjustRightInd w:val="0"/>
        <w:spacing w:after="240" w:line="340" w:lineRule="atLeast"/>
        <w:jc w:val="both"/>
        <w:rPr>
          <w:rFonts w:ascii="Cambria" w:hAnsi="Cambria" w:cs="Times"/>
          <w:lang w:val="en-US"/>
        </w:rPr>
      </w:pPr>
      <w:r w:rsidRPr="00DD59AD">
        <w:rPr>
          <w:rFonts w:ascii="Cambria" w:hAnsi="Cambria"/>
          <w:b/>
        </w:rPr>
        <w:t>S.</w:t>
      </w:r>
      <w:r w:rsidR="00CD1258">
        <w:rPr>
          <w:rFonts w:ascii="Cambria" w:hAnsi="Cambria"/>
          <w:b/>
        </w:rPr>
        <w:t>2</w:t>
      </w:r>
      <w:r w:rsidRPr="00DD59AD">
        <w:rPr>
          <w:rFonts w:ascii="Cambria" w:hAnsi="Cambria"/>
        </w:rPr>
        <w:t xml:space="preserve"> </w:t>
      </w:r>
      <w:r w:rsidRPr="00DD59AD">
        <w:rPr>
          <w:rFonts w:ascii="Cambria" w:hAnsi="Cambria" w:cs="Cambria"/>
          <w:lang w:val="en-US"/>
        </w:rPr>
        <w:t xml:space="preserve">Shows the survey scan recorded from the </w:t>
      </w:r>
      <w:proofErr w:type="spellStart"/>
      <w:r w:rsidRPr="00DD59AD">
        <w:rPr>
          <w:rFonts w:ascii="Cambria" w:hAnsi="Cambria" w:cs="Cambria"/>
          <w:lang w:val="en-US"/>
        </w:rPr>
        <w:t>anatase</w:t>
      </w:r>
      <w:proofErr w:type="spellEnd"/>
      <w:r w:rsidRPr="00DD59AD">
        <w:rPr>
          <w:rFonts w:ascii="Cambria" w:hAnsi="Cambria" w:cs="Cambria"/>
          <w:lang w:val="en-US"/>
        </w:rPr>
        <w:t xml:space="preserve"> </w:t>
      </w:r>
      <w:proofErr w:type="gramStart"/>
      <w:r w:rsidRPr="00DD59AD">
        <w:rPr>
          <w:rFonts w:ascii="Cambria" w:hAnsi="Cambria" w:cs="Cambria"/>
          <w:lang w:val="en-US"/>
        </w:rPr>
        <w:t>Ti</w:t>
      </w:r>
      <w:r w:rsidR="004A4122">
        <w:rPr>
          <w:rFonts w:ascii="Cambria" w:hAnsi="Cambria" w:cs="Cambria"/>
          <w:lang w:val="en-US"/>
        </w:rPr>
        <w:t>O</w:t>
      </w:r>
      <w:r w:rsidR="004A4122" w:rsidRPr="004A4122">
        <w:rPr>
          <w:rFonts w:ascii="Cambria" w:hAnsi="Cambria" w:cs="Cambria"/>
          <w:vertAlign w:val="subscript"/>
          <w:lang w:val="en-US"/>
        </w:rPr>
        <w:t>2</w:t>
      </w:r>
      <w:r w:rsidRPr="00DD59AD">
        <w:rPr>
          <w:rFonts w:ascii="Cambria" w:hAnsi="Cambria" w:cs="Cambria"/>
          <w:lang w:val="en-US"/>
        </w:rPr>
        <w:t>(</w:t>
      </w:r>
      <w:proofErr w:type="gramEnd"/>
      <w:r w:rsidRPr="00DD59AD">
        <w:rPr>
          <w:rFonts w:ascii="Cambria" w:hAnsi="Cambria" w:cs="Cambria"/>
          <w:lang w:val="en-US"/>
        </w:rPr>
        <w:t xml:space="preserve">101) surface, at 1000 </w:t>
      </w:r>
      <w:proofErr w:type="spellStart"/>
      <w:r w:rsidRPr="00DD59AD">
        <w:rPr>
          <w:rFonts w:ascii="Cambria" w:hAnsi="Cambria" w:cs="Cambria"/>
          <w:lang w:val="en-US"/>
        </w:rPr>
        <w:t>eV</w:t>
      </w:r>
      <w:proofErr w:type="spellEnd"/>
      <w:r w:rsidRPr="00DD59AD">
        <w:rPr>
          <w:rFonts w:ascii="Cambria" w:hAnsi="Cambria" w:cs="Cambria"/>
          <w:lang w:val="en-US"/>
        </w:rPr>
        <w:t xml:space="preserve"> photon energy, following cleaning by repeated sputter and anneal cycles. No surface contamination is observed other</w:t>
      </w:r>
      <w:r w:rsidRPr="008274ED">
        <w:rPr>
          <w:rFonts w:ascii="Cambria" w:hAnsi="Cambria" w:cs="Cambria"/>
          <w:lang w:val="en-US"/>
        </w:rPr>
        <w:t xml:space="preserve"> than a small amount of residual argon from the sputtering procedure. </w:t>
      </w:r>
    </w:p>
    <w:p w14:paraId="50665274" w14:textId="77777777" w:rsidR="00016AFF" w:rsidRDefault="00016AFF" w:rsidP="00DD59AD">
      <w:pPr>
        <w:jc w:val="both"/>
      </w:pPr>
    </w:p>
    <w:p w14:paraId="0075FCEB" w14:textId="7DCE12FD" w:rsidR="00DD59AD" w:rsidRDefault="005C0769">
      <w:pPr>
        <w:rPr>
          <w:lang w:val="en-US"/>
        </w:rPr>
      </w:pPr>
      <w:r>
        <w:rPr>
          <w:noProof/>
          <w:lang w:val="en-US"/>
        </w:rPr>
        <w:drawing>
          <wp:inline distT="0" distB="0" distL="0" distR="0" wp14:anchorId="118363EE" wp14:editId="0CC8BB0A">
            <wp:extent cx="4800600" cy="312282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1267" cy="3123256"/>
                    </a:xfrm>
                    <a:prstGeom prst="rect">
                      <a:avLst/>
                    </a:prstGeom>
                    <a:noFill/>
                    <a:ln>
                      <a:noFill/>
                    </a:ln>
                  </pic:spPr>
                </pic:pic>
              </a:graphicData>
            </a:graphic>
          </wp:inline>
        </w:drawing>
      </w:r>
    </w:p>
    <w:p w14:paraId="07FA270D" w14:textId="77777777" w:rsidR="00CD1258" w:rsidRDefault="00CD1258" w:rsidP="00CD1258">
      <w:pPr>
        <w:widowControl w:val="0"/>
        <w:autoSpaceDE w:val="0"/>
        <w:autoSpaceDN w:val="0"/>
        <w:adjustRightInd w:val="0"/>
        <w:spacing w:after="240" w:line="360" w:lineRule="atLeast"/>
        <w:jc w:val="both"/>
        <w:rPr>
          <w:lang w:val="en-US"/>
        </w:rPr>
      </w:pPr>
    </w:p>
    <w:p w14:paraId="45B4D990" w14:textId="04BE1C1D" w:rsidR="00CD1258" w:rsidRDefault="00CD1258" w:rsidP="00CD1258">
      <w:pPr>
        <w:widowControl w:val="0"/>
        <w:autoSpaceDE w:val="0"/>
        <w:autoSpaceDN w:val="0"/>
        <w:adjustRightInd w:val="0"/>
        <w:spacing w:after="240" w:line="360" w:lineRule="atLeast"/>
        <w:jc w:val="both"/>
        <w:rPr>
          <w:rFonts w:ascii="Cambria" w:hAnsi="Cambria" w:cs="Times"/>
          <w:position w:val="10"/>
          <w:lang w:val="en-US"/>
        </w:rPr>
      </w:pPr>
      <w:r w:rsidRPr="00CD1258">
        <w:rPr>
          <w:rFonts w:ascii="Cambria" w:hAnsi="Cambria" w:cs="Times"/>
          <w:b/>
          <w:lang w:val="en-US"/>
        </w:rPr>
        <w:t>S.</w:t>
      </w:r>
      <w:r>
        <w:rPr>
          <w:rFonts w:ascii="Cambria" w:hAnsi="Cambria" w:cs="Times"/>
          <w:b/>
          <w:lang w:val="en-US"/>
        </w:rPr>
        <w:t>3</w:t>
      </w:r>
      <w:r>
        <w:rPr>
          <w:rFonts w:ascii="Cambria" w:hAnsi="Cambria" w:cs="Times"/>
          <w:lang w:val="en-US"/>
        </w:rPr>
        <w:t xml:space="preserve"> </w:t>
      </w:r>
      <w:r w:rsidRPr="00CD1258">
        <w:rPr>
          <w:rFonts w:ascii="Cambria" w:hAnsi="Cambria" w:cs="Times"/>
          <w:lang w:val="en-US"/>
        </w:rPr>
        <w:t xml:space="preserve">Ti 2p (photon energy 570 </w:t>
      </w:r>
      <w:proofErr w:type="spellStart"/>
      <w:r w:rsidRPr="00CD1258">
        <w:rPr>
          <w:rFonts w:ascii="Cambria" w:hAnsi="Cambria" w:cs="Times"/>
          <w:lang w:val="en-US"/>
        </w:rPr>
        <w:t>eV</w:t>
      </w:r>
      <w:proofErr w:type="spellEnd"/>
      <w:r w:rsidRPr="00CD1258">
        <w:rPr>
          <w:rFonts w:ascii="Cambria" w:hAnsi="Cambria" w:cs="Times"/>
          <w:lang w:val="en-US"/>
        </w:rPr>
        <w:t xml:space="preserve">) and O 1s (photon energy 650 </w:t>
      </w:r>
      <w:proofErr w:type="spellStart"/>
      <w:r w:rsidRPr="00CD1258">
        <w:rPr>
          <w:rFonts w:ascii="Cambria" w:hAnsi="Cambria" w:cs="Times"/>
          <w:lang w:val="en-US"/>
        </w:rPr>
        <w:t>eV</w:t>
      </w:r>
      <w:proofErr w:type="spellEnd"/>
      <w:r w:rsidRPr="00CD1258">
        <w:rPr>
          <w:rFonts w:ascii="Cambria" w:hAnsi="Cambria" w:cs="Times"/>
          <w:lang w:val="en-US"/>
        </w:rPr>
        <w:t xml:space="preserve">) XPS core-level spectra showing, from bottom to top, the clean </w:t>
      </w:r>
      <w:proofErr w:type="spellStart"/>
      <w:r w:rsidRPr="00CD1258">
        <w:rPr>
          <w:rFonts w:ascii="Cambria" w:hAnsi="Cambria" w:cs="Times"/>
          <w:lang w:val="en-US"/>
        </w:rPr>
        <w:t>anatase</w:t>
      </w:r>
      <w:proofErr w:type="spellEnd"/>
      <w:r w:rsidRPr="00CD1258">
        <w:rPr>
          <w:rFonts w:ascii="Cambria" w:hAnsi="Cambria" w:cs="Times"/>
          <w:lang w:val="en-US"/>
        </w:rPr>
        <w:t xml:space="preserve"> </w:t>
      </w:r>
      <w:proofErr w:type="gramStart"/>
      <w:r w:rsidRPr="00CD1258">
        <w:rPr>
          <w:rFonts w:ascii="Cambria" w:hAnsi="Cambria" w:cs="Times"/>
          <w:lang w:val="en-US"/>
        </w:rPr>
        <w:t>Ti</w:t>
      </w:r>
      <w:r w:rsidR="000404B0">
        <w:rPr>
          <w:rFonts w:ascii="Cambria" w:hAnsi="Cambria" w:cs="Times"/>
          <w:lang w:val="en-US"/>
        </w:rPr>
        <w:t>O</w:t>
      </w:r>
      <w:r w:rsidR="000404B0" w:rsidRPr="000404B0">
        <w:rPr>
          <w:rFonts w:ascii="Cambria" w:hAnsi="Cambria" w:cs="Times"/>
          <w:vertAlign w:val="subscript"/>
          <w:lang w:val="en-US"/>
        </w:rPr>
        <w:t>2</w:t>
      </w:r>
      <w:r w:rsidRPr="00CD1258">
        <w:rPr>
          <w:rFonts w:ascii="Cambria" w:hAnsi="Cambria" w:cs="Times"/>
          <w:lang w:val="en-US"/>
        </w:rPr>
        <w:t>(</w:t>
      </w:r>
      <w:proofErr w:type="gramEnd"/>
      <w:r w:rsidRPr="00CD1258">
        <w:rPr>
          <w:rFonts w:ascii="Cambria" w:hAnsi="Cambria" w:cs="Times"/>
          <w:lang w:val="en-US"/>
        </w:rPr>
        <w:t xml:space="preserve">101) surface, the </w:t>
      </w:r>
      <w:proofErr w:type="spellStart"/>
      <w:r w:rsidRPr="00CD1258">
        <w:rPr>
          <w:rFonts w:ascii="Cambria" w:hAnsi="Cambria" w:cs="Times"/>
          <w:lang w:val="en-US"/>
        </w:rPr>
        <w:t>anatase</w:t>
      </w:r>
      <w:proofErr w:type="spellEnd"/>
      <w:r w:rsidRPr="00CD1258">
        <w:rPr>
          <w:rFonts w:ascii="Cambria" w:hAnsi="Cambria" w:cs="Times"/>
          <w:lang w:val="en-US"/>
        </w:rPr>
        <w:t xml:space="preserve"> Ti</w:t>
      </w:r>
      <w:r w:rsidR="000404B0">
        <w:rPr>
          <w:rFonts w:ascii="Cambria" w:hAnsi="Cambria" w:cs="Times"/>
          <w:lang w:val="en-US"/>
        </w:rPr>
        <w:t>O</w:t>
      </w:r>
      <w:r w:rsidR="000404B0" w:rsidRPr="000404B0">
        <w:rPr>
          <w:rFonts w:ascii="Cambria" w:hAnsi="Cambria" w:cs="Times"/>
          <w:vertAlign w:val="subscript"/>
          <w:lang w:val="en-US"/>
        </w:rPr>
        <w:t>2</w:t>
      </w:r>
      <w:r w:rsidRPr="00CD1258">
        <w:rPr>
          <w:rFonts w:ascii="Cambria" w:hAnsi="Cambria" w:cs="Times"/>
          <w:lang w:val="en-US"/>
        </w:rPr>
        <w:t>(101) single crystal following the adsorption of a thin layer of [</w:t>
      </w:r>
      <w:r w:rsidR="000404B0">
        <w:rPr>
          <w:rFonts w:ascii="Cambria" w:hAnsi="Cambria" w:cs="Times"/>
          <w:lang w:val="en-US"/>
        </w:rPr>
        <w:t>C</w:t>
      </w:r>
      <w:r w:rsidR="000404B0" w:rsidRPr="000404B0">
        <w:rPr>
          <w:rFonts w:ascii="Cambria" w:hAnsi="Cambria" w:cs="Times"/>
          <w:vertAlign w:val="subscript"/>
          <w:lang w:val="en-US"/>
        </w:rPr>
        <w:t>4</w:t>
      </w:r>
      <w:r w:rsidR="000404B0">
        <w:rPr>
          <w:rFonts w:ascii="Cambria" w:hAnsi="Cambria" w:cs="Times"/>
          <w:lang w:val="en-US"/>
        </w:rPr>
        <w:t>C</w:t>
      </w:r>
      <w:r w:rsidR="000404B0" w:rsidRPr="000404B0">
        <w:rPr>
          <w:rFonts w:ascii="Cambria" w:hAnsi="Cambria" w:cs="Times"/>
          <w:vertAlign w:val="subscript"/>
          <w:lang w:val="en-US"/>
        </w:rPr>
        <w:t>1</w:t>
      </w:r>
      <w:r w:rsidRPr="00CD1258">
        <w:rPr>
          <w:rFonts w:ascii="Cambria" w:hAnsi="Cambria" w:cs="Times"/>
          <w:lang w:val="en-US"/>
        </w:rPr>
        <w:t>Im][B</w:t>
      </w:r>
      <w:r w:rsidR="000404B0">
        <w:rPr>
          <w:rFonts w:ascii="Cambria" w:hAnsi="Cambria" w:cs="Times"/>
          <w:lang w:val="en-US"/>
        </w:rPr>
        <w:t>F</w:t>
      </w:r>
      <w:r w:rsidR="000404B0" w:rsidRPr="000404B0">
        <w:rPr>
          <w:rFonts w:ascii="Cambria" w:hAnsi="Cambria" w:cs="Times"/>
          <w:vertAlign w:val="subscript"/>
          <w:lang w:val="en-US"/>
        </w:rPr>
        <w:t>4</w:t>
      </w:r>
      <w:r w:rsidRPr="00CD1258">
        <w:rPr>
          <w:rFonts w:ascii="Cambria" w:hAnsi="Cambria" w:cs="Times"/>
          <w:lang w:val="en-US"/>
        </w:rPr>
        <w:t>] (with the substrate held at room temperature) and a thick layer of [</w:t>
      </w:r>
      <w:r w:rsidR="000404B0">
        <w:rPr>
          <w:rFonts w:ascii="Cambria" w:hAnsi="Cambria" w:cs="Times"/>
          <w:lang w:val="en-US"/>
        </w:rPr>
        <w:t>C</w:t>
      </w:r>
      <w:r w:rsidR="000404B0" w:rsidRPr="000404B0">
        <w:rPr>
          <w:rFonts w:ascii="Cambria" w:hAnsi="Cambria" w:cs="Times"/>
          <w:vertAlign w:val="subscript"/>
          <w:lang w:val="en-US"/>
        </w:rPr>
        <w:t>4</w:t>
      </w:r>
      <w:r w:rsidR="000404B0">
        <w:rPr>
          <w:rFonts w:ascii="Cambria" w:hAnsi="Cambria" w:cs="Times"/>
          <w:lang w:val="en-US"/>
        </w:rPr>
        <w:t>C</w:t>
      </w:r>
      <w:r w:rsidR="000404B0" w:rsidRPr="000404B0">
        <w:rPr>
          <w:rFonts w:ascii="Cambria" w:hAnsi="Cambria" w:cs="Times"/>
          <w:vertAlign w:val="subscript"/>
          <w:lang w:val="en-US"/>
        </w:rPr>
        <w:t>1</w:t>
      </w:r>
      <w:r w:rsidRPr="00CD1258">
        <w:rPr>
          <w:rFonts w:ascii="Cambria" w:hAnsi="Cambria" w:cs="Times"/>
          <w:lang w:val="en-US"/>
        </w:rPr>
        <w:t>Im][B</w:t>
      </w:r>
      <w:r w:rsidR="000404B0">
        <w:rPr>
          <w:rFonts w:ascii="Cambria" w:hAnsi="Cambria" w:cs="Times"/>
          <w:lang w:val="en-US"/>
        </w:rPr>
        <w:t>F</w:t>
      </w:r>
      <w:r w:rsidR="000404B0" w:rsidRPr="000404B0">
        <w:rPr>
          <w:rFonts w:ascii="Cambria" w:hAnsi="Cambria" w:cs="Times"/>
          <w:vertAlign w:val="subscript"/>
          <w:lang w:val="en-US"/>
        </w:rPr>
        <w:t>4</w:t>
      </w:r>
      <w:r w:rsidRPr="00CD1258">
        <w:rPr>
          <w:rFonts w:ascii="Cambria" w:hAnsi="Cambria" w:cs="Times"/>
          <w:lang w:val="en-US"/>
        </w:rPr>
        <w:t xml:space="preserve">] (with the substrate held at -150 </w:t>
      </w:r>
      <w:r w:rsidR="000404B0" w:rsidRPr="004A4122">
        <w:rPr>
          <w:rFonts w:ascii="Cambria" w:hAnsi="Cambria" w:cs="Lucida Grande"/>
          <w:b/>
          <w:color w:val="000000"/>
        </w:rPr>
        <w:t>°</w:t>
      </w:r>
      <w:r w:rsidRPr="00CD1258">
        <w:rPr>
          <w:rFonts w:ascii="Cambria" w:hAnsi="Cambria" w:cs="Times"/>
          <w:lang w:val="en-US"/>
        </w:rPr>
        <w:t>C). The spectra are normalized to the maximum peak intensity above the background. The increase in noise levels in the spectra following deposition of the IL is due to attenuation of the signal from the substrate. For t</w:t>
      </w:r>
      <w:r w:rsidR="00A85C25">
        <w:rPr>
          <w:rFonts w:ascii="Cambria" w:hAnsi="Cambria" w:cs="Times"/>
          <w:lang w:val="en-US"/>
        </w:rPr>
        <w:t xml:space="preserve">he clean surface the Ti 2p </w:t>
      </w:r>
      <w:proofErr w:type="spellStart"/>
      <w:r w:rsidR="00A85C25">
        <w:rPr>
          <w:rFonts w:ascii="Cambria" w:hAnsi="Cambria" w:cs="Times"/>
          <w:lang w:val="en-US"/>
        </w:rPr>
        <w:t>spec</w:t>
      </w:r>
      <w:r w:rsidRPr="00CD1258">
        <w:rPr>
          <w:rFonts w:ascii="Cambria" w:hAnsi="Cambria" w:cs="Times"/>
          <w:lang w:val="en-US"/>
        </w:rPr>
        <w:t>rum</w:t>
      </w:r>
      <w:proofErr w:type="spellEnd"/>
      <w:r w:rsidRPr="00CD1258">
        <w:rPr>
          <w:rFonts w:ascii="Cambria" w:hAnsi="Cambria" w:cs="Times"/>
          <w:lang w:val="en-US"/>
        </w:rPr>
        <w:t xml:space="preserve"> is composed of the characteristic spin orbit split peaks at binding energies of 459.2 </w:t>
      </w:r>
      <w:proofErr w:type="spellStart"/>
      <w:r w:rsidRPr="00CD1258">
        <w:rPr>
          <w:rFonts w:ascii="Cambria" w:hAnsi="Cambria" w:cs="Times"/>
          <w:lang w:val="en-US"/>
        </w:rPr>
        <w:t>eV</w:t>
      </w:r>
      <w:proofErr w:type="spellEnd"/>
      <w:r w:rsidRPr="00CD1258">
        <w:rPr>
          <w:rFonts w:ascii="Cambria" w:hAnsi="Cambria" w:cs="Times"/>
          <w:lang w:val="en-US"/>
        </w:rPr>
        <w:t xml:space="preserve"> (Ti 2</w:t>
      </w:r>
      <w:r>
        <w:rPr>
          <w:rFonts w:ascii="Cambria" w:hAnsi="Cambria" w:cs="Times"/>
          <w:lang w:val="en-US"/>
        </w:rPr>
        <w:t xml:space="preserve">p 3/2) and 465.0 </w:t>
      </w:r>
      <w:proofErr w:type="spellStart"/>
      <w:r>
        <w:rPr>
          <w:rFonts w:ascii="Cambria" w:hAnsi="Cambria" w:cs="Times"/>
          <w:lang w:val="en-US"/>
        </w:rPr>
        <w:t>eV</w:t>
      </w:r>
      <w:proofErr w:type="spellEnd"/>
      <w:r>
        <w:rPr>
          <w:rFonts w:ascii="Cambria" w:hAnsi="Cambria" w:cs="Times"/>
          <w:lang w:val="en-US"/>
        </w:rPr>
        <w:t xml:space="preserve"> (</w:t>
      </w:r>
      <w:proofErr w:type="gramStart"/>
      <w:r>
        <w:rPr>
          <w:rFonts w:ascii="Cambria" w:hAnsi="Cambria" w:cs="Times"/>
          <w:lang w:val="en-US"/>
        </w:rPr>
        <w:t>Ti  2p</w:t>
      </w:r>
      <w:proofErr w:type="gramEnd"/>
      <w:r>
        <w:rPr>
          <w:rFonts w:ascii="Cambria" w:hAnsi="Cambria" w:cs="Times"/>
          <w:lang w:val="en-US"/>
        </w:rPr>
        <w:t xml:space="preserve"> 1/2</w:t>
      </w:r>
      <w:r w:rsidRPr="00CD1258">
        <w:rPr>
          <w:rFonts w:ascii="Cambria" w:hAnsi="Cambria" w:cs="Times"/>
          <w:lang w:val="en-US"/>
        </w:rPr>
        <w:t xml:space="preserve">) as shown in figure 3. These peaks are consistent with </w:t>
      </w:r>
      <w:r>
        <w:rPr>
          <w:rFonts w:ascii="Cambria" w:hAnsi="Cambria" w:cs="Times"/>
          <w:lang w:val="en-US"/>
        </w:rPr>
        <w:t>Ti4+.</w:t>
      </w:r>
      <w:r w:rsidRPr="00CD1258">
        <w:rPr>
          <w:rFonts w:ascii="Cambria" w:hAnsi="Cambria" w:cs="Times"/>
          <w:lang w:val="en-US"/>
        </w:rPr>
        <w:t xml:space="preserve"> A small shoulder is observed to the lower binding energy side of the main Ti </w:t>
      </w:r>
      <w:r>
        <w:rPr>
          <w:rFonts w:ascii="Cambria" w:hAnsi="Cambria" w:cs="Times"/>
          <w:lang w:val="en-US"/>
        </w:rPr>
        <w:t>2p 3/2</w:t>
      </w:r>
      <w:r w:rsidRPr="00CD1258">
        <w:rPr>
          <w:rFonts w:ascii="Cambria" w:hAnsi="Cambria" w:cs="Times"/>
          <w:position w:val="-6"/>
          <w:lang w:val="en-US"/>
        </w:rPr>
        <w:t xml:space="preserve"> </w:t>
      </w:r>
      <w:r w:rsidRPr="00CD1258">
        <w:rPr>
          <w:rFonts w:ascii="Cambria" w:hAnsi="Cambria" w:cs="Times"/>
          <w:lang w:val="en-US"/>
        </w:rPr>
        <w:t>peak, due to T</w:t>
      </w:r>
      <w:r>
        <w:rPr>
          <w:rFonts w:ascii="Cambria" w:hAnsi="Cambria" w:cs="Times"/>
          <w:lang w:val="en-US"/>
        </w:rPr>
        <w:t xml:space="preserve">i3+ </w:t>
      </w:r>
      <w:r w:rsidRPr="00CD1258">
        <w:rPr>
          <w:rFonts w:ascii="Cambria" w:hAnsi="Cambria" w:cs="Times"/>
          <w:lang w:val="en-US"/>
        </w:rPr>
        <w:t xml:space="preserve">(457.6 </w:t>
      </w:r>
      <w:proofErr w:type="spellStart"/>
      <w:r w:rsidRPr="00CD1258">
        <w:rPr>
          <w:rFonts w:ascii="Cambria" w:hAnsi="Cambria" w:cs="Times"/>
          <w:lang w:val="en-US"/>
        </w:rPr>
        <w:t>eV</w:t>
      </w:r>
      <w:proofErr w:type="spellEnd"/>
      <w:r w:rsidRPr="00CD1258">
        <w:rPr>
          <w:rFonts w:ascii="Cambria" w:hAnsi="Cambria" w:cs="Times"/>
          <w:lang w:val="en-US"/>
        </w:rPr>
        <w:t>), which arises from residual surface oxygen vacancies</w:t>
      </w:r>
      <w:proofErr w:type="gramStart"/>
      <w:r w:rsidR="000404B0">
        <w:rPr>
          <w:rFonts w:ascii="Cambria" w:hAnsi="Cambria" w:cs="Times"/>
          <w:lang w:val="en-US"/>
        </w:rPr>
        <w:t>.[</w:t>
      </w:r>
      <w:proofErr w:type="gramEnd"/>
      <w:r w:rsidR="000404B0">
        <w:rPr>
          <w:rFonts w:ascii="Cambria" w:hAnsi="Cambria" w:cs="Times"/>
          <w:lang w:val="en-US"/>
        </w:rPr>
        <w:t>1]</w:t>
      </w:r>
      <w:r w:rsidRPr="00CD1258">
        <w:rPr>
          <w:rFonts w:ascii="Cambria" w:hAnsi="Cambria" w:cs="Times"/>
          <w:position w:val="10"/>
          <w:lang w:val="en-US"/>
        </w:rPr>
        <w:t xml:space="preserve"> </w:t>
      </w:r>
      <w:r w:rsidRPr="00CD1258">
        <w:rPr>
          <w:rFonts w:ascii="Cambria" w:hAnsi="Cambria" w:cs="Times"/>
          <w:lang w:val="en-US"/>
        </w:rPr>
        <w:t xml:space="preserve">The O 1s spectrum for the clean surface is dominated by the large oxide peak at 530.4 </w:t>
      </w:r>
      <w:proofErr w:type="spellStart"/>
      <w:r w:rsidRPr="00CD1258">
        <w:rPr>
          <w:rFonts w:ascii="Cambria" w:hAnsi="Cambria" w:cs="Times"/>
          <w:lang w:val="en-US"/>
        </w:rPr>
        <w:t>eV</w:t>
      </w:r>
      <w:proofErr w:type="spellEnd"/>
      <w:r w:rsidRPr="00CD1258">
        <w:rPr>
          <w:rFonts w:ascii="Cambria" w:hAnsi="Cambria" w:cs="Times"/>
          <w:lang w:val="en-US"/>
        </w:rPr>
        <w:t xml:space="preserve">. A small shoulder is also fitted at a slightly higher binding energy, at 531.6 </w:t>
      </w:r>
      <w:proofErr w:type="spellStart"/>
      <w:r w:rsidRPr="00CD1258">
        <w:rPr>
          <w:rFonts w:ascii="Cambria" w:hAnsi="Cambria" w:cs="Times"/>
          <w:lang w:val="en-US"/>
        </w:rPr>
        <w:t>eV</w:t>
      </w:r>
      <w:proofErr w:type="spellEnd"/>
      <w:r w:rsidRPr="00CD1258">
        <w:rPr>
          <w:rFonts w:ascii="Cambria" w:hAnsi="Cambria" w:cs="Times"/>
          <w:lang w:val="en-US"/>
        </w:rPr>
        <w:t xml:space="preserve">. The origin of this peak has been linked to adsorbed surface hydroxyls and an intrinsic feature in the O 1s spectrum of the </w:t>
      </w:r>
      <w:proofErr w:type="spellStart"/>
      <w:r w:rsidRPr="00CD1258">
        <w:rPr>
          <w:rFonts w:ascii="Cambria" w:hAnsi="Cambria" w:cs="Times"/>
          <w:lang w:val="en-US"/>
        </w:rPr>
        <w:t>anatase</w:t>
      </w:r>
      <w:proofErr w:type="spellEnd"/>
      <w:r w:rsidRPr="00CD1258">
        <w:rPr>
          <w:rFonts w:ascii="Cambria" w:hAnsi="Cambria" w:cs="Times"/>
          <w:lang w:val="en-US"/>
        </w:rPr>
        <w:t xml:space="preserve"> </w:t>
      </w:r>
      <w:proofErr w:type="gramStart"/>
      <w:r w:rsidRPr="00CD1258">
        <w:rPr>
          <w:rFonts w:ascii="Cambria" w:hAnsi="Cambria" w:cs="Times"/>
          <w:lang w:val="en-US"/>
        </w:rPr>
        <w:t>Ti</w:t>
      </w:r>
      <w:r w:rsidR="000404B0">
        <w:rPr>
          <w:rFonts w:ascii="Cambria" w:hAnsi="Cambria" w:cs="Times"/>
          <w:lang w:val="en-US"/>
        </w:rPr>
        <w:t>O</w:t>
      </w:r>
      <w:r w:rsidR="000404B0" w:rsidRPr="000404B0">
        <w:rPr>
          <w:rFonts w:ascii="Cambria" w:hAnsi="Cambria" w:cs="Times"/>
          <w:vertAlign w:val="subscript"/>
          <w:lang w:val="en-US"/>
        </w:rPr>
        <w:t>2</w:t>
      </w:r>
      <w:r w:rsidRPr="00CD1258">
        <w:rPr>
          <w:rFonts w:ascii="Cambria" w:hAnsi="Cambria" w:cs="Times"/>
          <w:lang w:val="en-US"/>
        </w:rPr>
        <w:t>(</w:t>
      </w:r>
      <w:proofErr w:type="gramEnd"/>
      <w:r w:rsidRPr="00CD1258">
        <w:rPr>
          <w:rFonts w:ascii="Cambria" w:hAnsi="Cambria" w:cs="Times"/>
          <w:lang w:val="en-US"/>
        </w:rPr>
        <w:t>101) surface, possibly associated with O-vacancies</w:t>
      </w:r>
      <w:r w:rsidR="00463B4C">
        <w:rPr>
          <w:rFonts w:ascii="Cambria" w:hAnsi="Cambria" w:cs="Times"/>
          <w:lang w:val="en-US"/>
        </w:rPr>
        <w:t>.</w:t>
      </w:r>
      <w:r w:rsidR="00463B4C">
        <w:rPr>
          <w:rFonts w:ascii="Cambria" w:hAnsi="Cambria" w:cs="Times"/>
          <w:lang w:val="en-US"/>
        </w:rPr>
        <w:fldChar w:fldCharType="begin" w:fldLock="1"/>
      </w:r>
      <w:r w:rsidR="00463B4C">
        <w:rPr>
          <w:rFonts w:ascii="Cambria" w:hAnsi="Cambria" w:cs="Times"/>
          <w:lang w:val="en-US"/>
        </w:rPr>
        <w:instrText>ADDIN CSL_CITATION { "citationItems" : [ { "id" : "ITEM-1", "itemData" : { "DOI" : "10.1021/acs.jpcc.5b02732", "ISSN" : "1932-7447", "abstract" : "X-ray photoelectron (XPS) experiments at normal and grazing emission are performed, demonstrating the labile nature of the anatase TiO2(101) surface after argon cluster ion sputtering and the propensity of oxygen vacancies to migrate subsurface at room temperature. Near-ambient XPS (NAP-XPS) shows that molecular water adsorbs on the anatase TiO2(101) surface at pressures of 0.6 mbar and above, at room temperature, in a mixed molecular and dissociated state. Water adsorbs in a similar fashion on both sputtered and stoichiometric surfaces and reaches a saturation point between 0.6 and 1.8 mbar at room temperature. This means there is little difference in reactivity with regards to water adsorption on both sputtered and stoichiometric surfaces, giving credence to the theory that anatase has superior photocatalytic activity over rutile due to the tendency of oxygen vacancies to lie subsurface, therefore being able to contribute to photocatalysis without being quenched by adsorbates. X-ray photoelectron (XPS) experiments at normal and grazing emission are performed, demonstrating the labile nature of the anatase TiO2(101) surface after argon cluster ion sputtering and the propensity of oxygen vacancies to migrate subsurface at room temperature. Near-ambient XPS (NAP-XPS) shows that molecular water adsorbs on the anatase TiO2(101) surface at pressures of 0.6 mbar and above, at room temperature, in a mixed molecular and dissociated state. Water adsorbs in a similar fashion on both sputtered and stoichiometric surfaces and reaches a saturation point between 0.6 and 1.8 mbar at room temperature. This means there is little difference in reactivity with regards to water adsorption on both sputtered and stoichiometric surfaces, giving credence to the theory that anatase has superior photocatalytic activity over rutile due to the tendency of oxygen vacancies to lie subsurface, therefore being able to contribute to photocatalysis without being quenched by adsorbates.", "author" : [ { "dropping-particle" : "", "family" : "Jackman", "given" : "Mark J.", "non-dropping-particle" : "", "parse-names" : false, "suffix" : "" }, { "dropping-particle" : "", "family" : "Thomas", "given" : "Andrew G.", "non-dropping-particle" : "", "parse-names" : false, "suffix" : "" }, { "dropping-particle" : "", "family" : "Muryn", "given" : "Chris", "non-dropping-particle" : "", "parse-names" : false, "suffix" : "" } ], "container-title" : "J. Phys. Chem. C", "id" : "ITEM-1", "issue" : "24", "issued" : { "date-parts" : [ [ "2015", "6", "18" ] ] }, "page" : "13682-13690", "publisher" : "American Chemical Society", "title" : "Photoelectron Spectroscopy Study of Stoichiometric and Reduced Anatase TiO 2 (101) Surfaces: The Effect of Subsurface Defects on Water Adsorption at Near-Ambient Pressures", "type" : "article-journal", "volume" : "119" }, "uris" : [ "http://www.mendeley.com/documents/?uuid=4a999225-6854-4b4a-8484-ad8e9385a4be" ] } ], "mendeley" : { "formattedCitation" : "&lt;sup&gt;[2]&lt;/sup&gt;", "plainTextFormattedCitation" : "[2]", "previouslyFormattedCitation" : "&lt;sup&gt;[2]&lt;/sup&gt;" }, "properties" : { "noteIndex" : 0 }, "schema" : "https://github.com/citation-style-language/schema/raw/master/csl-citation.json" }</w:instrText>
      </w:r>
      <w:r w:rsidR="00463B4C">
        <w:rPr>
          <w:rFonts w:ascii="Cambria" w:hAnsi="Cambria" w:cs="Times"/>
          <w:lang w:val="en-US"/>
        </w:rPr>
        <w:fldChar w:fldCharType="separate"/>
      </w:r>
      <w:r w:rsidR="00463B4C" w:rsidRPr="00463B4C">
        <w:rPr>
          <w:rFonts w:ascii="Cambria" w:hAnsi="Cambria" w:cs="Times"/>
          <w:noProof/>
          <w:vertAlign w:val="superscript"/>
          <w:lang w:val="en-US"/>
        </w:rPr>
        <w:t>[2]</w:t>
      </w:r>
      <w:r w:rsidR="00463B4C">
        <w:rPr>
          <w:rFonts w:ascii="Cambria" w:hAnsi="Cambria" w:cs="Times"/>
          <w:lang w:val="en-US"/>
        </w:rPr>
        <w:fldChar w:fldCharType="end"/>
      </w:r>
    </w:p>
    <w:p w14:paraId="460B336B" w14:textId="77777777" w:rsidR="00CD1258" w:rsidRDefault="00CD1258" w:rsidP="00CD1258">
      <w:pPr>
        <w:widowControl w:val="0"/>
        <w:autoSpaceDE w:val="0"/>
        <w:autoSpaceDN w:val="0"/>
        <w:adjustRightInd w:val="0"/>
        <w:spacing w:after="240" w:line="360" w:lineRule="atLeast"/>
        <w:jc w:val="both"/>
        <w:rPr>
          <w:rFonts w:ascii="Cambria" w:hAnsi="Cambria" w:cs="Times"/>
          <w:position w:val="10"/>
          <w:lang w:val="en-US"/>
        </w:rPr>
      </w:pPr>
    </w:p>
    <w:p w14:paraId="36C05C00" w14:textId="77777777" w:rsidR="00CD1258" w:rsidRDefault="00CD1258" w:rsidP="00CD1258">
      <w:pPr>
        <w:widowControl w:val="0"/>
        <w:autoSpaceDE w:val="0"/>
        <w:autoSpaceDN w:val="0"/>
        <w:adjustRightInd w:val="0"/>
        <w:spacing w:after="240" w:line="360" w:lineRule="atLeast"/>
        <w:ind w:left="720" w:firstLine="720"/>
        <w:jc w:val="both"/>
        <w:rPr>
          <w:rFonts w:ascii="Cambria" w:hAnsi="Cambria" w:cs="Times"/>
          <w:lang w:val="en-US"/>
        </w:rPr>
      </w:pPr>
      <w:r>
        <w:rPr>
          <w:rFonts w:ascii="Cambria" w:hAnsi="Cambria" w:cs="Times"/>
          <w:noProof/>
          <w:lang w:val="en-US"/>
        </w:rPr>
        <w:drawing>
          <wp:inline distT="0" distB="0" distL="0" distR="0" wp14:anchorId="0C963476" wp14:editId="796738C7">
            <wp:extent cx="3815325" cy="32004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6100" cy="3201050"/>
                    </a:xfrm>
                    <a:prstGeom prst="rect">
                      <a:avLst/>
                    </a:prstGeom>
                    <a:noFill/>
                    <a:ln>
                      <a:noFill/>
                    </a:ln>
                  </pic:spPr>
                </pic:pic>
              </a:graphicData>
            </a:graphic>
          </wp:inline>
        </w:drawing>
      </w:r>
    </w:p>
    <w:p w14:paraId="22B8E1D6" w14:textId="77777777" w:rsidR="00CD1258" w:rsidRPr="00CD1258" w:rsidRDefault="00CD1258" w:rsidP="00CD1258">
      <w:pPr>
        <w:widowControl w:val="0"/>
        <w:autoSpaceDE w:val="0"/>
        <w:autoSpaceDN w:val="0"/>
        <w:adjustRightInd w:val="0"/>
        <w:spacing w:after="240" w:line="360" w:lineRule="atLeast"/>
        <w:ind w:left="720" w:firstLine="720"/>
        <w:jc w:val="both"/>
        <w:rPr>
          <w:rFonts w:ascii="Cambria" w:hAnsi="Cambria" w:cs="Times"/>
          <w:lang w:val="en-US"/>
        </w:rPr>
      </w:pPr>
    </w:p>
    <w:p w14:paraId="7B3EA978" w14:textId="59B9DD35" w:rsidR="00AC5F08" w:rsidRPr="00AC5F08" w:rsidRDefault="00A13BC4" w:rsidP="00AC5F08">
      <w:pPr>
        <w:widowControl w:val="0"/>
        <w:autoSpaceDE w:val="0"/>
        <w:autoSpaceDN w:val="0"/>
        <w:adjustRightInd w:val="0"/>
        <w:spacing w:after="240" w:line="360" w:lineRule="atLeast"/>
        <w:jc w:val="both"/>
        <w:rPr>
          <w:rFonts w:ascii="Cambria" w:hAnsi="Cambria" w:cs="Times"/>
          <w:lang w:val="en-US"/>
        </w:rPr>
      </w:pPr>
      <w:r w:rsidRPr="00CB6537">
        <w:rPr>
          <w:rFonts w:ascii="Cambria" w:hAnsi="Cambria"/>
          <w:b/>
        </w:rPr>
        <w:t>S.</w:t>
      </w:r>
      <w:r w:rsidR="00FE4397" w:rsidRPr="00AC5F08">
        <w:rPr>
          <w:rFonts w:ascii="Cambria" w:hAnsi="Cambria"/>
          <w:b/>
        </w:rPr>
        <w:t>4</w:t>
      </w:r>
      <w:r w:rsidR="00AC5F08" w:rsidRPr="00AC5F08">
        <w:rPr>
          <w:rFonts w:ascii="Cambria" w:hAnsi="Cambria"/>
          <w:b/>
        </w:rPr>
        <w:t xml:space="preserve"> </w:t>
      </w:r>
      <w:r w:rsidR="00AC5F08" w:rsidRPr="00AC5F08">
        <w:rPr>
          <w:rFonts w:ascii="Cambria" w:hAnsi="Cambria" w:cs="Times"/>
          <w:lang w:val="en-US"/>
        </w:rPr>
        <w:t>Peak assignments, their respective binding energies and the relative abundances as a percentage of total peak area that are fitted to the core spectra of elements relating to those present in [</w:t>
      </w:r>
      <w:r w:rsidR="00AC5F08">
        <w:rPr>
          <w:rFonts w:ascii="Cambria" w:hAnsi="Cambria" w:cs="Times"/>
          <w:lang w:val="en-US"/>
        </w:rPr>
        <w:t>C</w:t>
      </w:r>
      <w:r w:rsidR="00AC5F08" w:rsidRPr="00AC5F08">
        <w:rPr>
          <w:rFonts w:ascii="Cambria" w:hAnsi="Cambria" w:cs="Times"/>
          <w:vertAlign w:val="subscript"/>
          <w:lang w:val="en-US"/>
        </w:rPr>
        <w:t>4</w:t>
      </w:r>
      <w:r w:rsidR="00AC5F08">
        <w:rPr>
          <w:rFonts w:ascii="Cambria" w:hAnsi="Cambria" w:cs="Times"/>
          <w:lang w:val="en-US"/>
        </w:rPr>
        <w:t>C</w:t>
      </w:r>
      <w:r w:rsidR="00AC5F08" w:rsidRPr="00AC5F08">
        <w:rPr>
          <w:rFonts w:ascii="Cambria" w:hAnsi="Cambria" w:cs="Times"/>
          <w:vertAlign w:val="subscript"/>
          <w:lang w:val="en-US"/>
        </w:rPr>
        <w:t>1</w:t>
      </w:r>
      <w:r w:rsidR="00AC5F08" w:rsidRPr="00AC5F08">
        <w:rPr>
          <w:rFonts w:ascii="Cambria" w:hAnsi="Cambria" w:cs="Times"/>
          <w:lang w:val="en-US"/>
        </w:rPr>
        <w:t>Im][B</w:t>
      </w:r>
      <w:r w:rsidR="00AC5F08">
        <w:rPr>
          <w:rFonts w:ascii="Cambria" w:hAnsi="Cambria" w:cs="Times"/>
          <w:lang w:val="en-US"/>
        </w:rPr>
        <w:t>F</w:t>
      </w:r>
      <w:r w:rsidR="00AC5F08" w:rsidRPr="00AC5F08">
        <w:rPr>
          <w:rFonts w:ascii="Cambria" w:hAnsi="Cambria" w:cs="Times"/>
          <w:vertAlign w:val="subscript"/>
          <w:lang w:val="en-US"/>
        </w:rPr>
        <w:t>4</w:t>
      </w:r>
      <w:r w:rsidR="00AC5F08" w:rsidRPr="00AC5F08">
        <w:rPr>
          <w:rFonts w:ascii="Cambria" w:hAnsi="Cambria" w:cs="Times"/>
          <w:lang w:val="en-US"/>
        </w:rPr>
        <w:t xml:space="preserve">] at low and high </w:t>
      </w:r>
      <w:proofErr w:type="spellStart"/>
      <w:r w:rsidR="00AC5F08" w:rsidRPr="00AC5F08">
        <w:rPr>
          <w:rFonts w:ascii="Cambria" w:hAnsi="Cambria" w:cs="Times"/>
          <w:lang w:val="en-US"/>
        </w:rPr>
        <w:t>coverages</w:t>
      </w:r>
      <w:proofErr w:type="spellEnd"/>
      <w:r w:rsidR="00AC5F08" w:rsidRPr="00AC5F08">
        <w:rPr>
          <w:rFonts w:ascii="Cambria" w:hAnsi="Cambria" w:cs="Times"/>
          <w:lang w:val="en-US"/>
        </w:rPr>
        <w:t xml:space="preserve">. Binding energies are quoted to ±0.1 </w:t>
      </w:r>
      <w:proofErr w:type="spellStart"/>
      <w:r w:rsidR="00AC5F08" w:rsidRPr="00AC5F08">
        <w:rPr>
          <w:rFonts w:ascii="Cambria" w:hAnsi="Cambria" w:cs="Times"/>
          <w:lang w:val="en-US"/>
        </w:rPr>
        <w:t>eV</w:t>
      </w:r>
      <w:proofErr w:type="spellEnd"/>
      <w:r w:rsidR="00AC5F08" w:rsidRPr="00AC5F08">
        <w:rPr>
          <w:rFonts w:ascii="Cambria" w:hAnsi="Cambria" w:cs="Times"/>
          <w:lang w:val="en-US"/>
        </w:rPr>
        <w:t xml:space="preserve">. </w:t>
      </w:r>
    </w:p>
    <w:p w14:paraId="41BE35AA" w14:textId="77777777" w:rsidR="007579AC" w:rsidRDefault="007579AC" w:rsidP="001557AB">
      <w:pPr>
        <w:widowControl w:val="0"/>
        <w:autoSpaceDE w:val="0"/>
        <w:autoSpaceDN w:val="0"/>
        <w:adjustRightInd w:val="0"/>
        <w:spacing w:after="240" w:line="280" w:lineRule="atLeast"/>
        <w:jc w:val="both"/>
        <w:rPr>
          <w:rFonts w:ascii="Cambria" w:hAnsi="Cambria"/>
          <w:b/>
        </w:rPr>
      </w:pPr>
    </w:p>
    <w:tbl>
      <w:tblPr>
        <w:tblStyle w:val="TableGrid"/>
        <w:tblW w:w="0" w:type="auto"/>
        <w:tblLayout w:type="fixed"/>
        <w:tblLook w:val="04A0" w:firstRow="1" w:lastRow="0" w:firstColumn="1" w:lastColumn="0" w:noHBand="0" w:noVBand="1"/>
      </w:tblPr>
      <w:tblGrid>
        <w:gridCol w:w="1433"/>
        <w:gridCol w:w="1721"/>
        <w:gridCol w:w="1425"/>
        <w:gridCol w:w="1426"/>
        <w:gridCol w:w="1425"/>
        <w:gridCol w:w="1426"/>
      </w:tblGrid>
      <w:tr w:rsidR="007579AC" w14:paraId="0FE94AC8" w14:textId="77777777" w:rsidTr="007579AC">
        <w:tc>
          <w:tcPr>
            <w:tcW w:w="1433" w:type="dxa"/>
            <w:vMerge w:val="restart"/>
          </w:tcPr>
          <w:p w14:paraId="391D8F5A" w14:textId="77777777" w:rsidR="007579AC" w:rsidRPr="007579AC" w:rsidRDefault="007579AC" w:rsidP="007579AC">
            <w:pPr>
              <w:jc w:val="center"/>
              <w:rPr>
                <w:b/>
                <w:lang w:val="en-US"/>
              </w:rPr>
            </w:pPr>
            <w:r w:rsidRPr="007579AC">
              <w:rPr>
                <w:b/>
                <w:lang w:val="en-US"/>
              </w:rPr>
              <w:t>Species</w:t>
            </w:r>
          </w:p>
        </w:tc>
        <w:tc>
          <w:tcPr>
            <w:tcW w:w="1721" w:type="dxa"/>
            <w:vMerge w:val="restart"/>
          </w:tcPr>
          <w:p w14:paraId="3E114C4F" w14:textId="77777777" w:rsidR="007579AC" w:rsidRPr="007579AC" w:rsidRDefault="007579AC" w:rsidP="007579AC">
            <w:pPr>
              <w:jc w:val="center"/>
              <w:rPr>
                <w:b/>
                <w:lang w:val="en-US"/>
              </w:rPr>
            </w:pPr>
            <w:r w:rsidRPr="007579AC">
              <w:rPr>
                <w:b/>
                <w:lang w:val="en-US"/>
              </w:rPr>
              <w:t>Assignment</w:t>
            </w:r>
          </w:p>
        </w:tc>
        <w:tc>
          <w:tcPr>
            <w:tcW w:w="2851" w:type="dxa"/>
            <w:gridSpan w:val="2"/>
          </w:tcPr>
          <w:p w14:paraId="38A939A8" w14:textId="77777777" w:rsidR="007579AC" w:rsidRPr="007579AC" w:rsidRDefault="007579AC" w:rsidP="007579AC">
            <w:pPr>
              <w:jc w:val="center"/>
              <w:rPr>
                <w:b/>
                <w:lang w:val="en-US"/>
              </w:rPr>
            </w:pPr>
            <w:r w:rsidRPr="007579AC">
              <w:rPr>
                <w:b/>
                <w:lang w:val="en-US"/>
              </w:rPr>
              <w:t>Low coverage</w:t>
            </w:r>
          </w:p>
        </w:tc>
        <w:tc>
          <w:tcPr>
            <w:tcW w:w="2851" w:type="dxa"/>
            <w:gridSpan w:val="2"/>
          </w:tcPr>
          <w:p w14:paraId="4F15BC65" w14:textId="77777777" w:rsidR="007579AC" w:rsidRPr="007579AC" w:rsidRDefault="007579AC" w:rsidP="007579AC">
            <w:pPr>
              <w:jc w:val="center"/>
              <w:rPr>
                <w:b/>
                <w:lang w:val="en-US"/>
              </w:rPr>
            </w:pPr>
            <w:r w:rsidRPr="007579AC">
              <w:rPr>
                <w:b/>
                <w:lang w:val="en-US"/>
              </w:rPr>
              <w:t>High coverage</w:t>
            </w:r>
          </w:p>
        </w:tc>
      </w:tr>
      <w:tr w:rsidR="007579AC" w14:paraId="6B91C625" w14:textId="77777777" w:rsidTr="007579AC">
        <w:tc>
          <w:tcPr>
            <w:tcW w:w="1433" w:type="dxa"/>
            <w:vMerge/>
          </w:tcPr>
          <w:p w14:paraId="03E69734" w14:textId="77777777" w:rsidR="007579AC" w:rsidRPr="007579AC" w:rsidRDefault="007579AC" w:rsidP="007579AC">
            <w:pPr>
              <w:jc w:val="center"/>
              <w:rPr>
                <w:b/>
                <w:lang w:val="en-US"/>
              </w:rPr>
            </w:pPr>
          </w:p>
        </w:tc>
        <w:tc>
          <w:tcPr>
            <w:tcW w:w="1721" w:type="dxa"/>
            <w:vMerge/>
          </w:tcPr>
          <w:p w14:paraId="40435060" w14:textId="77777777" w:rsidR="007579AC" w:rsidRPr="007579AC" w:rsidRDefault="007579AC" w:rsidP="007579AC">
            <w:pPr>
              <w:jc w:val="center"/>
              <w:rPr>
                <w:b/>
                <w:lang w:val="en-US"/>
              </w:rPr>
            </w:pPr>
          </w:p>
        </w:tc>
        <w:tc>
          <w:tcPr>
            <w:tcW w:w="1425" w:type="dxa"/>
          </w:tcPr>
          <w:p w14:paraId="716F4C56" w14:textId="77777777" w:rsidR="007579AC" w:rsidRPr="007579AC" w:rsidRDefault="007579AC" w:rsidP="007579AC">
            <w:pPr>
              <w:jc w:val="center"/>
              <w:rPr>
                <w:b/>
                <w:lang w:val="en-US"/>
              </w:rPr>
            </w:pPr>
            <w:r>
              <w:rPr>
                <w:b/>
                <w:lang w:val="en-US"/>
              </w:rPr>
              <w:t xml:space="preserve">BE / </w:t>
            </w:r>
            <w:proofErr w:type="spellStart"/>
            <w:r w:rsidRPr="007579AC">
              <w:rPr>
                <w:b/>
                <w:lang w:val="en-US"/>
              </w:rPr>
              <w:t>eV</w:t>
            </w:r>
            <w:proofErr w:type="spellEnd"/>
          </w:p>
        </w:tc>
        <w:tc>
          <w:tcPr>
            <w:tcW w:w="1426" w:type="dxa"/>
          </w:tcPr>
          <w:p w14:paraId="55D07ACC" w14:textId="77777777" w:rsidR="007579AC" w:rsidRPr="007579AC" w:rsidRDefault="007579AC" w:rsidP="007579AC">
            <w:pPr>
              <w:jc w:val="center"/>
              <w:rPr>
                <w:b/>
                <w:lang w:val="en-US"/>
              </w:rPr>
            </w:pPr>
            <w:r w:rsidRPr="007579AC">
              <w:rPr>
                <w:b/>
                <w:lang w:val="en-US"/>
              </w:rPr>
              <w:t>%</w:t>
            </w:r>
          </w:p>
        </w:tc>
        <w:tc>
          <w:tcPr>
            <w:tcW w:w="1425" w:type="dxa"/>
          </w:tcPr>
          <w:p w14:paraId="3A03D22E" w14:textId="77777777" w:rsidR="007579AC" w:rsidRPr="007579AC" w:rsidRDefault="007579AC" w:rsidP="007579AC">
            <w:pPr>
              <w:jc w:val="center"/>
              <w:rPr>
                <w:b/>
                <w:lang w:val="en-US"/>
              </w:rPr>
            </w:pPr>
            <w:r w:rsidRPr="007579AC">
              <w:rPr>
                <w:b/>
                <w:lang w:val="en-US"/>
              </w:rPr>
              <w:t xml:space="preserve">BE / </w:t>
            </w:r>
            <w:proofErr w:type="spellStart"/>
            <w:r w:rsidRPr="007579AC">
              <w:rPr>
                <w:b/>
                <w:lang w:val="en-US"/>
              </w:rPr>
              <w:t>eV</w:t>
            </w:r>
            <w:proofErr w:type="spellEnd"/>
          </w:p>
        </w:tc>
        <w:tc>
          <w:tcPr>
            <w:tcW w:w="1426" w:type="dxa"/>
          </w:tcPr>
          <w:p w14:paraId="3FA30208" w14:textId="77777777" w:rsidR="007579AC" w:rsidRPr="007579AC" w:rsidRDefault="007579AC" w:rsidP="007579AC">
            <w:pPr>
              <w:jc w:val="center"/>
              <w:rPr>
                <w:b/>
                <w:lang w:val="en-US"/>
              </w:rPr>
            </w:pPr>
            <w:r w:rsidRPr="007579AC">
              <w:rPr>
                <w:b/>
                <w:lang w:val="en-US"/>
              </w:rPr>
              <w:t>%</w:t>
            </w:r>
          </w:p>
        </w:tc>
      </w:tr>
      <w:tr w:rsidR="007579AC" w14:paraId="4CE894CC" w14:textId="77777777" w:rsidTr="007579AC">
        <w:tc>
          <w:tcPr>
            <w:tcW w:w="1433" w:type="dxa"/>
            <w:vMerge w:val="restart"/>
          </w:tcPr>
          <w:p w14:paraId="526B6018" w14:textId="77777777" w:rsidR="007579AC" w:rsidRDefault="007579AC" w:rsidP="007579AC">
            <w:pPr>
              <w:rPr>
                <w:lang w:val="en-US"/>
              </w:rPr>
            </w:pPr>
            <w:r>
              <w:rPr>
                <w:lang w:val="en-US"/>
              </w:rPr>
              <w:t>C 1s</w:t>
            </w:r>
          </w:p>
        </w:tc>
        <w:tc>
          <w:tcPr>
            <w:tcW w:w="1721" w:type="dxa"/>
          </w:tcPr>
          <w:p w14:paraId="7C524CDC" w14:textId="77777777" w:rsidR="007579AC" w:rsidRDefault="007579AC" w:rsidP="007579AC">
            <w:pPr>
              <w:rPr>
                <w:lang w:val="en-US"/>
              </w:rPr>
            </w:pPr>
            <w:r>
              <w:rPr>
                <w:lang w:val="en-US"/>
              </w:rPr>
              <w:t>C1</w:t>
            </w:r>
          </w:p>
        </w:tc>
        <w:tc>
          <w:tcPr>
            <w:tcW w:w="1425" w:type="dxa"/>
          </w:tcPr>
          <w:p w14:paraId="7C5B9372" w14:textId="77777777" w:rsidR="007579AC" w:rsidRDefault="007579AC" w:rsidP="007579AC">
            <w:pPr>
              <w:rPr>
                <w:lang w:val="en-US"/>
              </w:rPr>
            </w:pPr>
            <w:r>
              <w:rPr>
                <w:lang w:val="en-US"/>
              </w:rPr>
              <w:t>287.5</w:t>
            </w:r>
          </w:p>
        </w:tc>
        <w:tc>
          <w:tcPr>
            <w:tcW w:w="1426" w:type="dxa"/>
          </w:tcPr>
          <w:p w14:paraId="6034829C" w14:textId="77777777" w:rsidR="007579AC" w:rsidRDefault="007579AC" w:rsidP="007579AC">
            <w:pPr>
              <w:rPr>
                <w:lang w:val="en-US"/>
              </w:rPr>
            </w:pPr>
            <w:r>
              <w:rPr>
                <w:lang w:val="en-US"/>
              </w:rPr>
              <w:t>12.3</w:t>
            </w:r>
            <w:r w:rsidRPr="00806960">
              <w:rPr>
                <w:rFonts w:ascii="ＭＳ ゴシック" w:eastAsia="ＭＳ ゴシック" w:hAnsi="ＭＳ ゴシック"/>
                <w:color w:val="000000"/>
              </w:rPr>
              <w:t>±</w:t>
            </w:r>
            <w:r>
              <w:rPr>
                <w:rFonts w:ascii="ＭＳ ゴシック" w:eastAsia="ＭＳ ゴシック" w:hAnsi="ＭＳ ゴシック"/>
                <w:color w:val="000000"/>
              </w:rPr>
              <w:t>1.5</w:t>
            </w:r>
          </w:p>
        </w:tc>
        <w:tc>
          <w:tcPr>
            <w:tcW w:w="1425" w:type="dxa"/>
          </w:tcPr>
          <w:p w14:paraId="598380CC" w14:textId="77777777" w:rsidR="007579AC" w:rsidRDefault="007579AC" w:rsidP="007579AC">
            <w:pPr>
              <w:rPr>
                <w:lang w:val="en-US"/>
              </w:rPr>
            </w:pPr>
            <w:r>
              <w:rPr>
                <w:lang w:val="en-US"/>
              </w:rPr>
              <w:t>287.8</w:t>
            </w:r>
          </w:p>
        </w:tc>
        <w:tc>
          <w:tcPr>
            <w:tcW w:w="1426" w:type="dxa"/>
          </w:tcPr>
          <w:p w14:paraId="24F1020E" w14:textId="77777777" w:rsidR="007579AC" w:rsidRDefault="007579AC" w:rsidP="007579AC">
            <w:pPr>
              <w:rPr>
                <w:lang w:val="en-US"/>
              </w:rPr>
            </w:pPr>
            <w:r>
              <w:rPr>
                <w:lang w:val="en-US"/>
              </w:rPr>
              <w:t>10.2</w:t>
            </w:r>
            <w:r w:rsidRPr="00806960">
              <w:rPr>
                <w:rFonts w:ascii="ＭＳ ゴシック" w:eastAsia="ＭＳ ゴシック" w:hAnsi="ＭＳ ゴシック"/>
                <w:color w:val="000000"/>
              </w:rPr>
              <w:t>±</w:t>
            </w:r>
            <w:r>
              <w:rPr>
                <w:rFonts w:ascii="ＭＳ ゴシック" w:eastAsia="ＭＳ ゴシック" w:hAnsi="ＭＳ ゴシック"/>
                <w:color w:val="000000"/>
              </w:rPr>
              <w:t>1.6</w:t>
            </w:r>
          </w:p>
        </w:tc>
      </w:tr>
      <w:tr w:rsidR="007579AC" w14:paraId="7ECA5EC0" w14:textId="77777777" w:rsidTr="007579AC">
        <w:tc>
          <w:tcPr>
            <w:tcW w:w="1433" w:type="dxa"/>
            <w:vMerge/>
          </w:tcPr>
          <w:p w14:paraId="11A13B6A" w14:textId="77777777" w:rsidR="007579AC" w:rsidRDefault="007579AC" w:rsidP="007579AC">
            <w:pPr>
              <w:rPr>
                <w:lang w:val="en-US"/>
              </w:rPr>
            </w:pPr>
          </w:p>
        </w:tc>
        <w:tc>
          <w:tcPr>
            <w:tcW w:w="1721" w:type="dxa"/>
          </w:tcPr>
          <w:p w14:paraId="71711B29" w14:textId="77777777" w:rsidR="007579AC" w:rsidRDefault="007579AC" w:rsidP="007579AC">
            <w:pPr>
              <w:rPr>
                <w:lang w:val="en-US"/>
              </w:rPr>
            </w:pPr>
            <w:r>
              <w:rPr>
                <w:lang w:val="en-US"/>
              </w:rPr>
              <w:t>C2</w:t>
            </w:r>
          </w:p>
        </w:tc>
        <w:tc>
          <w:tcPr>
            <w:tcW w:w="1425" w:type="dxa"/>
          </w:tcPr>
          <w:p w14:paraId="1B2BE2F1" w14:textId="77777777" w:rsidR="007579AC" w:rsidRDefault="007579AC" w:rsidP="007579AC">
            <w:pPr>
              <w:rPr>
                <w:lang w:val="en-US"/>
              </w:rPr>
            </w:pPr>
            <w:r>
              <w:rPr>
                <w:lang w:val="en-US"/>
              </w:rPr>
              <w:t>286.7</w:t>
            </w:r>
          </w:p>
        </w:tc>
        <w:tc>
          <w:tcPr>
            <w:tcW w:w="1426" w:type="dxa"/>
          </w:tcPr>
          <w:p w14:paraId="7DADF284" w14:textId="77777777" w:rsidR="007579AC" w:rsidRDefault="007579AC" w:rsidP="007579AC">
            <w:pPr>
              <w:rPr>
                <w:lang w:val="en-US"/>
              </w:rPr>
            </w:pPr>
            <w:r>
              <w:rPr>
                <w:lang w:val="en-US"/>
              </w:rPr>
              <w:t>25.4</w:t>
            </w:r>
            <w:r w:rsidRPr="00806960">
              <w:rPr>
                <w:rFonts w:ascii="ＭＳ ゴシック" w:eastAsia="ＭＳ ゴシック" w:hAnsi="ＭＳ ゴシック"/>
                <w:color w:val="000000"/>
              </w:rPr>
              <w:t>±</w:t>
            </w:r>
            <w:r>
              <w:rPr>
                <w:rFonts w:ascii="ＭＳ ゴシック" w:eastAsia="ＭＳ ゴシック" w:hAnsi="ＭＳ ゴシック"/>
                <w:color w:val="000000"/>
              </w:rPr>
              <w:t>1.2</w:t>
            </w:r>
          </w:p>
        </w:tc>
        <w:tc>
          <w:tcPr>
            <w:tcW w:w="1425" w:type="dxa"/>
          </w:tcPr>
          <w:p w14:paraId="153DB049" w14:textId="77777777" w:rsidR="007579AC" w:rsidRDefault="007579AC" w:rsidP="007579AC">
            <w:pPr>
              <w:rPr>
                <w:lang w:val="en-US"/>
              </w:rPr>
            </w:pPr>
            <w:r>
              <w:rPr>
                <w:lang w:val="en-US"/>
              </w:rPr>
              <w:t>287.0</w:t>
            </w:r>
          </w:p>
        </w:tc>
        <w:tc>
          <w:tcPr>
            <w:tcW w:w="1426" w:type="dxa"/>
          </w:tcPr>
          <w:p w14:paraId="7AA09D95" w14:textId="77777777" w:rsidR="007579AC" w:rsidRDefault="007579AC" w:rsidP="007579AC">
            <w:pPr>
              <w:rPr>
                <w:lang w:val="en-US"/>
              </w:rPr>
            </w:pPr>
            <w:r>
              <w:rPr>
                <w:lang w:val="en-US"/>
              </w:rPr>
              <w:t>24.1</w:t>
            </w:r>
            <w:r w:rsidRPr="00806960">
              <w:rPr>
                <w:rFonts w:ascii="ＭＳ ゴシック" w:eastAsia="ＭＳ ゴシック" w:hAnsi="ＭＳ ゴシック"/>
                <w:color w:val="000000"/>
              </w:rPr>
              <w:t>±</w:t>
            </w:r>
            <w:r>
              <w:rPr>
                <w:rFonts w:ascii="ＭＳ ゴシック" w:eastAsia="ＭＳ ゴシック" w:hAnsi="ＭＳ ゴシック"/>
                <w:color w:val="000000"/>
              </w:rPr>
              <w:t>1.1</w:t>
            </w:r>
          </w:p>
        </w:tc>
      </w:tr>
      <w:tr w:rsidR="007579AC" w14:paraId="39D71306" w14:textId="77777777" w:rsidTr="007579AC">
        <w:tc>
          <w:tcPr>
            <w:tcW w:w="1433" w:type="dxa"/>
            <w:vMerge/>
          </w:tcPr>
          <w:p w14:paraId="34A1F53F" w14:textId="77777777" w:rsidR="007579AC" w:rsidRDefault="007579AC" w:rsidP="007579AC">
            <w:pPr>
              <w:rPr>
                <w:lang w:val="en-US"/>
              </w:rPr>
            </w:pPr>
          </w:p>
        </w:tc>
        <w:tc>
          <w:tcPr>
            <w:tcW w:w="1721" w:type="dxa"/>
          </w:tcPr>
          <w:p w14:paraId="444A315A" w14:textId="77777777" w:rsidR="007579AC" w:rsidRDefault="007579AC" w:rsidP="007579AC">
            <w:pPr>
              <w:rPr>
                <w:lang w:val="en-US"/>
              </w:rPr>
            </w:pPr>
            <w:r>
              <w:rPr>
                <w:lang w:val="en-US"/>
              </w:rPr>
              <w:t>C3</w:t>
            </w:r>
          </w:p>
        </w:tc>
        <w:tc>
          <w:tcPr>
            <w:tcW w:w="1425" w:type="dxa"/>
          </w:tcPr>
          <w:p w14:paraId="6D541DC3" w14:textId="77777777" w:rsidR="007579AC" w:rsidRDefault="007579AC" w:rsidP="007579AC">
            <w:pPr>
              <w:rPr>
                <w:lang w:val="en-US"/>
              </w:rPr>
            </w:pPr>
            <w:r>
              <w:rPr>
                <w:lang w:val="en-US"/>
              </w:rPr>
              <w:t>286.3</w:t>
            </w:r>
          </w:p>
        </w:tc>
        <w:tc>
          <w:tcPr>
            <w:tcW w:w="1426" w:type="dxa"/>
          </w:tcPr>
          <w:p w14:paraId="4F06BA66" w14:textId="77777777" w:rsidR="007579AC" w:rsidRDefault="007579AC" w:rsidP="007579AC">
            <w:pPr>
              <w:rPr>
                <w:lang w:val="en-US"/>
              </w:rPr>
            </w:pPr>
            <w:r>
              <w:rPr>
                <w:lang w:val="en-US"/>
              </w:rPr>
              <w:t>25.4</w:t>
            </w:r>
            <w:r w:rsidRPr="00806960">
              <w:rPr>
                <w:rFonts w:ascii="ＭＳ ゴシック" w:eastAsia="ＭＳ ゴシック" w:hAnsi="ＭＳ ゴシック"/>
                <w:color w:val="000000"/>
              </w:rPr>
              <w:t>±</w:t>
            </w:r>
            <w:r>
              <w:rPr>
                <w:rFonts w:ascii="ＭＳ ゴシック" w:eastAsia="ＭＳ ゴシック" w:hAnsi="ＭＳ ゴシック"/>
                <w:color w:val="000000"/>
              </w:rPr>
              <w:t>1.2</w:t>
            </w:r>
          </w:p>
        </w:tc>
        <w:tc>
          <w:tcPr>
            <w:tcW w:w="1425" w:type="dxa"/>
          </w:tcPr>
          <w:p w14:paraId="5029BEEF" w14:textId="77777777" w:rsidR="007579AC" w:rsidRDefault="007579AC" w:rsidP="007579AC">
            <w:pPr>
              <w:rPr>
                <w:lang w:val="en-US"/>
              </w:rPr>
            </w:pPr>
            <w:r>
              <w:rPr>
                <w:lang w:val="en-US"/>
              </w:rPr>
              <w:t>286.6</w:t>
            </w:r>
          </w:p>
        </w:tc>
        <w:tc>
          <w:tcPr>
            <w:tcW w:w="1426" w:type="dxa"/>
          </w:tcPr>
          <w:p w14:paraId="6C8EB588" w14:textId="77777777" w:rsidR="007579AC" w:rsidRDefault="007579AC" w:rsidP="007579AC">
            <w:pPr>
              <w:rPr>
                <w:lang w:val="en-US"/>
              </w:rPr>
            </w:pPr>
            <w:r>
              <w:rPr>
                <w:lang w:val="en-US"/>
              </w:rPr>
              <w:t>24.1</w:t>
            </w:r>
            <w:r w:rsidRPr="00806960">
              <w:rPr>
                <w:rFonts w:ascii="ＭＳ ゴシック" w:eastAsia="ＭＳ ゴシック" w:hAnsi="ＭＳ ゴシック"/>
                <w:color w:val="000000"/>
              </w:rPr>
              <w:t>±</w:t>
            </w:r>
            <w:r>
              <w:rPr>
                <w:rFonts w:ascii="ＭＳ ゴシック" w:eastAsia="ＭＳ ゴシック" w:hAnsi="ＭＳ ゴシック"/>
                <w:color w:val="000000"/>
              </w:rPr>
              <w:t>1.1</w:t>
            </w:r>
          </w:p>
        </w:tc>
      </w:tr>
      <w:tr w:rsidR="007579AC" w14:paraId="449C685A" w14:textId="77777777" w:rsidTr="007579AC">
        <w:tc>
          <w:tcPr>
            <w:tcW w:w="1433" w:type="dxa"/>
            <w:vMerge/>
          </w:tcPr>
          <w:p w14:paraId="0B01A752" w14:textId="77777777" w:rsidR="007579AC" w:rsidRDefault="007579AC" w:rsidP="007579AC">
            <w:pPr>
              <w:rPr>
                <w:lang w:val="en-US"/>
              </w:rPr>
            </w:pPr>
          </w:p>
        </w:tc>
        <w:tc>
          <w:tcPr>
            <w:tcW w:w="1721" w:type="dxa"/>
          </w:tcPr>
          <w:p w14:paraId="2D0D7E34" w14:textId="77777777" w:rsidR="007579AC" w:rsidRDefault="007579AC" w:rsidP="007579AC">
            <w:pPr>
              <w:rPr>
                <w:lang w:val="en-US"/>
              </w:rPr>
            </w:pPr>
            <w:r>
              <w:rPr>
                <w:lang w:val="en-US"/>
              </w:rPr>
              <w:t>C4</w:t>
            </w:r>
          </w:p>
          <w:p w14:paraId="597CBBF8" w14:textId="0DF95D97" w:rsidR="007579AC" w:rsidRDefault="007579AC" w:rsidP="007579AC">
            <w:pPr>
              <w:rPr>
                <w:lang w:val="en-US"/>
              </w:rPr>
            </w:pPr>
          </w:p>
        </w:tc>
        <w:tc>
          <w:tcPr>
            <w:tcW w:w="1425" w:type="dxa"/>
          </w:tcPr>
          <w:p w14:paraId="2144085D" w14:textId="77777777" w:rsidR="007579AC" w:rsidRDefault="007579AC" w:rsidP="007579AC">
            <w:pPr>
              <w:rPr>
                <w:lang w:val="en-US"/>
              </w:rPr>
            </w:pPr>
            <w:r>
              <w:rPr>
                <w:lang w:val="en-US"/>
              </w:rPr>
              <w:t>285.5</w:t>
            </w:r>
          </w:p>
        </w:tc>
        <w:tc>
          <w:tcPr>
            <w:tcW w:w="1426" w:type="dxa"/>
          </w:tcPr>
          <w:p w14:paraId="4A01A782" w14:textId="77777777" w:rsidR="007579AC" w:rsidRDefault="007579AC" w:rsidP="007579AC">
            <w:pPr>
              <w:rPr>
                <w:lang w:val="en-US"/>
              </w:rPr>
            </w:pPr>
            <w:r>
              <w:rPr>
                <w:lang w:val="en-US"/>
              </w:rPr>
              <w:t>37.0</w:t>
            </w:r>
            <w:r w:rsidRPr="00806960">
              <w:rPr>
                <w:rFonts w:ascii="ＭＳ ゴシック" w:eastAsia="ＭＳ ゴシック" w:hAnsi="ＭＳ ゴシック"/>
                <w:color w:val="000000"/>
              </w:rPr>
              <w:t>±</w:t>
            </w:r>
            <w:r>
              <w:rPr>
                <w:rFonts w:ascii="ＭＳ ゴシック" w:eastAsia="ＭＳ ゴシック" w:hAnsi="ＭＳ ゴシック"/>
                <w:color w:val="000000"/>
              </w:rPr>
              <w:t>1.8</w:t>
            </w:r>
          </w:p>
        </w:tc>
        <w:tc>
          <w:tcPr>
            <w:tcW w:w="1425" w:type="dxa"/>
          </w:tcPr>
          <w:p w14:paraId="3C840A42" w14:textId="77777777" w:rsidR="007579AC" w:rsidRDefault="007579AC" w:rsidP="007579AC">
            <w:pPr>
              <w:rPr>
                <w:lang w:val="en-US"/>
              </w:rPr>
            </w:pPr>
            <w:r>
              <w:rPr>
                <w:lang w:val="en-US"/>
              </w:rPr>
              <w:t>285.5</w:t>
            </w:r>
          </w:p>
        </w:tc>
        <w:tc>
          <w:tcPr>
            <w:tcW w:w="1426" w:type="dxa"/>
          </w:tcPr>
          <w:p w14:paraId="308A4C43" w14:textId="2F6C0C5F" w:rsidR="007579AC" w:rsidRDefault="007579AC" w:rsidP="007579AC">
            <w:pPr>
              <w:rPr>
                <w:lang w:val="en-US"/>
              </w:rPr>
            </w:pPr>
            <w:r>
              <w:rPr>
                <w:lang w:val="en-US"/>
              </w:rPr>
              <w:t>41.6</w:t>
            </w:r>
            <w:r w:rsidRPr="00806960">
              <w:rPr>
                <w:rFonts w:ascii="ＭＳ ゴシック" w:eastAsia="ＭＳ ゴシック" w:hAnsi="ＭＳ ゴシック"/>
                <w:color w:val="000000"/>
              </w:rPr>
              <w:t>±</w:t>
            </w:r>
            <w:r>
              <w:rPr>
                <w:rFonts w:ascii="ＭＳ ゴシック" w:eastAsia="ＭＳ ゴシック" w:hAnsi="ＭＳ ゴシック"/>
                <w:color w:val="000000"/>
              </w:rPr>
              <w:t>1.</w:t>
            </w:r>
            <w:r w:rsidR="00710866">
              <w:rPr>
                <w:rFonts w:ascii="ＭＳ ゴシック" w:eastAsia="ＭＳ ゴシック" w:hAnsi="ＭＳ ゴシック"/>
                <w:color w:val="000000"/>
              </w:rPr>
              <w:t>6</w:t>
            </w:r>
          </w:p>
        </w:tc>
      </w:tr>
      <w:tr w:rsidR="003B0586" w14:paraId="1E73A4AC" w14:textId="77777777" w:rsidTr="007579AC">
        <w:tc>
          <w:tcPr>
            <w:tcW w:w="1433" w:type="dxa"/>
            <w:vMerge w:val="restart"/>
          </w:tcPr>
          <w:p w14:paraId="7F36BDA4" w14:textId="77777777" w:rsidR="003B0586" w:rsidRDefault="003B0586" w:rsidP="007579AC">
            <w:pPr>
              <w:rPr>
                <w:lang w:val="en-US"/>
              </w:rPr>
            </w:pPr>
            <w:r>
              <w:rPr>
                <w:lang w:val="en-US"/>
              </w:rPr>
              <w:t>N 1s</w:t>
            </w:r>
          </w:p>
        </w:tc>
        <w:tc>
          <w:tcPr>
            <w:tcW w:w="1721" w:type="dxa"/>
          </w:tcPr>
          <w:p w14:paraId="72163C07" w14:textId="77777777" w:rsidR="003B0586" w:rsidRDefault="003B0586" w:rsidP="007579AC">
            <w:pPr>
              <w:rPr>
                <w:lang w:val="en-US"/>
              </w:rPr>
            </w:pPr>
            <w:proofErr w:type="spellStart"/>
            <w:r>
              <w:rPr>
                <w:lang w:val="en-US"/>
              </w:rPr>
              <w:t>Im</w:t>
            </w:r>
            <w:proofErr w:type="spellEnd"/>
            <w:r>
              <w:rPr>
                <w:lang w:val="en-US"/>
              </w:rPr>
              <w:t xml:space="preserve"> ring</w:t>
            </w:r>
          </w:p>
        </w:tc>
        <w:tc>
          <w:tcPr>
            <w:tcW w:w="1425" w:type="dxa"/>
          </w:tcPr>
          <w:p w14:paraId="5A09D7B2" w14:textId="77777777" w:rsidR="003B0586" w:rsidRDefault="003B0586" w:rsidP="007579AC">
            <w:pPr>
              <w:rPr>
                <w:lang w:val="en-US"/>
              </w:rPr>
            </w:pPr>
            <w:r>
              <w:rPr>
                <w:lang w:val="en-US"/>
              </w:rPr>
              <w:t>402.1</w:t>
            </w:r>
          </w:p>
        </w:tc>
        <w:tc>
          <w:tcPr>
            <w:tcW w:w="1426" w:type="dxa"/>
          </w:tcPr>
          <w:p w14:paraId="46A4AAF2" w14:textId="77777777" w:rsidR="003B0586" w:rsidRDefault="003B0586" w:rsidP="007579AC">
            <w:pPr>
              <w:rPr>
                <w:lang w:val="en-US"/>
              </w:rPr>
            </w:pPr>
            <w:r>
              <w:rPr>
                <w:lang w:val="en-US"/>
              </w:rPr>
              <w:t>100.0</w:t>
            </w:r>
          </w:p>
        </w:tc>
        <w:tc>
          <w:tcPr>
            <w:tcW w:w="1425" w:type="dxa"/>
          </w:tcPr>
          <w:p w14:paraId="363ED33E" w14:textId="77777777" w:rsidR="003B0586" w:rsidRDefault="003B0586" w:rsidP="007579AC">
            <w:pPr>
              <w:rPr>
                <w:lang w:val="en-US"/>
              </w:rPr>
            </w:pPr>
            <w:r>
              <w:rPr>
                <w:lang w:val="en-US"/>
              </w:rPr>
              <w:t>402.3</w:t>
            </w:r>
          </w:p>
        </w:tc>
        <w:tc>
          <w:tcPr>
            <w:tcW w:w="1426" w:type="dxa"/>
          </w:tcPr>
          <w:p w14:paraId="233AB662" w14:textId="77777777" w:rsidR="003B0586" w:rsidRDefault="003B0586" w:rsidP="007579AC">
            <w:pPr>
              <w:rPr>
                <w:lang w:val="en-US"/>
              </w:rPr>
            </w:pPr>
            <w:r>
              <w:rPr>
                <w:lang w:val="en-US"/>
              </w:rPr>
              <w:t>88.9</w:t>
            </w:r>
            <w:r w:rsidRPr="00806960">
              <w:rPr>
                <w:rFonts w:ascii="ＭＳ ゴシック" w:eastAsia="ＭＳ ゴシック" w:hAnsi="ＭＳ ゴシック"/>
                <w:color w:val="000000"/>
              </w:rPr>
              <w:t>±</w:t>
            </w:r>
            <w:r>
              <w:rPr>
                <w:rFonts w:ascii="ＭＳ ゴシック" w:eastAsia="ＭＳ ゴシック" w:hAnsi="ＭＳ ゴシック"/>
                <w:color w:val="000000"/>
              </w:rPr>
              <w:t>2.1</w:t>
            </w:r>
          </w:p>
        </w:tc>
      </w:tr>
      <w:tr w:rsidR="003B0586" w14:paraId="0254CA86" w14:textId="77777777" w:rsidTr="007579AC">
        <w:tc>
          <w:tcPr>
            <w:tcW w:w="1433" w:type="dxa"/>
            <w:vMerge/>
          </w:tcPr>
          <w:p w14:paraId="55811082" w14:textId="77777777" w:rsidR="003B0586" w:rsidRDefault="003B0586" w:rsidP="007579AC">
            <w:pPr>
              <w:rPr>
                <w:lang w:val="en-US"/>
              </w:rPr>
            </w:pPr>
          </w:p>
        </w:tc>
        <w:tc>
          <w:tcPr>
            <w:tcW w:w="1721" w:type="dxa"/>
          </w:tcPr>
          <w:p w14:paraId="536323A4" w14:textId="77777777" w:rsidR="003B0586" w:rsidRDefault="003B0586" w:rsidP="007579AC">
            <w:pPr>
              <w:rPr>
                <w:lang w:val="en-US"/>
              </w:rPr>
            </w:pPr>
            <w:r>
              <w:rPr>
                <w:lang w:val="en-US"/>
              </w:rPr>
              <w:t>Beam damage</w:t>
            </w:r>
          </w:p>
        </w:tc>
        <w:tc>
          <w:tcPr>
            <w:tcW w:w="1425" w:type="dxa"/>
          </w:tcPr>
          <w:p w14:paraId="1D5B314F" w14:textId="77777777" w:rsidR="003B0586" w:rsidRDefault="003B0586" w:rsidP="007579AC">
            <w:pPr>
              <w:rPr>
                <w:lang w:val="en-US"/>
              </w:rPr>
            </w:pPr>
            <w:r>
              <w:rPr>
                <w:lang w:val="en-US"/>
              </w:rPr>
              <w:t>-</w:t>
            </w:r>
          </w:p>
        </w:tc>
        <w:tc>
          <w:tcPr>
            <w:tcW w:w="1426" w:type="dxa"/>
          </w:tcPr>
          <w:p w14:paraId="4E7F584C" w14:textId="77777777" w:rsidR="003B0586" w:rsidRDefault="003B0586" w:rsidP="007579AC">
            <w:pPr>
              <w:rPr>
                <w:lang w:val="en-US"/>
              </w:rPr>
            </w:pPr>
            <w:r>
              <w:rPr>
                <w:lang w:val="en-US"/>
              </w:rPr>
              <w:t>0.0</w:t>
            </w:r>
          </w:p>
        </w:tc>
        <w:tc>
          <w:tcPr>
            <w:tcW w:w="1425" w:type="dxa"/>
          </w:tcPr>
          <w:p w14:paraId="066B4915" w14:textId="77777777" w:rsidR="003B0586" w:rsidRDefault="003B0586" w:rsidP="007579AC">
            <w:pPr>
              <w:rPr>
                <w:lang w:val="en-US"/>
              </w:rPr>
            </w:pPr>
            <w:r>
              <w:rPr>
                <w:lang w:val="en-US"/>
              </w:rPr>
              <w:t>400.9</w:t>
            </w:r>
          </w:p>
        </w:tc>
        <w:tc>
          <w:tcPr>
            <w:tcW w:w="1426" w:type="dxa"/>
          </w:tcPr>
          <w:p w14:paraId="5CDF6C90" w14:textId="77777777" w:rsidR="003B0586" w:rsidRDefault="003B0586" w:rsidP="007579AC">
            <w:pPr>
              <w:rPr>
                <w:lang w:val="en-US"/>
              </w:rPr>
            </w:pPr>
            <w:r>
              <w:rPr>
                <w:lang w:val="en-US"/>
              </w:rPr>
              <w:t>5.8</w:t>
            </w:r>
            <w:r w:rsidRPr="00806960">
              <w:rPr>
                <w:rFonts w:ascii="ＭＳ ゴシック" w:eastAsia="ＭＳ ゴシック" w:hAnsi="ＭＳ ゴシック"/>
                <w:color w:val="000000"/>
              </w:rPr>
              <w:t>±</w:t>
            </w:r>
            <w:r>
              <w:rPr>
                <w:rFonts w:ascii="ＭＳ ゴシック" w:eastAsia="ＭＳ ゴシック" w:hAnsi="ＭＳ ゴシック"/>
                <w:color w:val="000000"/>
              </w:rPr>
              <w:t>0.9</w:t>
            </w:r>
          </w:p>
        </w:tc>
      </w:tr>
      <w:tr w:rsidR="003B0586" w14:paraId="4C75D7DF" w14:textId="77777777" w:rsidTr="007579AC">
        <w:tc>
          <w:tcPr>
            <w:tcW w:w="1433" w:type="dxa"/>
            <w:vMerge/>
          </w:tcPr>
          <w:p w14:paraId="09EA33FA" w14:textId="77777777" w:rsidR="003B0586" w:rsidRDefault="003B0586" w:rsidP="007579AC">
            <w:pPr>
              <w:rPr>
                <w:lang w:val="en-US"/>
              </w:rPr>
            </w:pPr>
          </w:p>
        </w:tc>
        <w:tc>
          <w:tcPr>
            <w:tcW w:w="1721" w:type="dxa"/>
          </w:tcPr>
          <w:p w14:paraId="32882C05" w14:textId="77777777" w:rsidR="003B0586" w:rsidRDefault="003B0586" w:rsidP="007579AC">
            <w:pPr>
              <w:rPr>
                <w:lang w:val="en-US"/>
              </w:rPr>
            </w:pPr>
            <w:r>
              <w:rPr>
                <w:lang w:val="en-US"/>
              </w:rPr>
              <w:t>Beam damage</w:t>
            </w:r>
          </w:p>
          <w:p w14:paraId="78D8A143" w14:textId="77777777" w:rsidR="003B0586" w:rsidRDefault="003B0586" w:rsidP="007579AC">
            <w:pPr>
              <w:rPr>
                <w:lang w:val="en-US"/>
              </w:rPr>
            </w:pPr>
          </w:p>
        </w:tc>
        <w:tc>
          <w:tcPr>
            <w:tcW w:w="1425" w:type="dxa"/>
          </w:tcPr>
          <w:p w14:paraId="29AF74F4" w14:textId="77777777" w:rsidR="003B0586" w:rsidRDefault="003B0586" w:rsidP="007579AC">
            <w:pPr>
              <w:rPr>
                <w:lang w:val="en-US"/>
              </w:rPr>
            </w:pPr>
            <w:r>
              <w:rPr>
                <w:lang w:val="en-US"/>
              </w:rPr>
              <w:t>-</w:t>
            </w:r>
          </w:p>
        </w:tc>
        <w:tc>
          <w:tcPr>
            <w:tcW w:w="1426" w:type="dxa"/>
          </w:tcPr>
          <w:p w14:paraId="4B26754E" w14:textId="77777777" w:rsidR="003B0586" w:rsidRDefault="003B0586" w:rsidP="007579AC">
            <w:pPr>
              <w:rPr>
                <w:lang w:val="en-US"/>
              </w:rPr>
            </w:pPr>
            <w:r>
              <w:rPr>
                <w:lang w:val="en-US"/>
              </w:rPr>
              <w:t>0.0</w:t>
            </w:r>
          </w:p>
        </w:tc>
        <w:tc>
          <w:tcPr>
            <w:tcW w:w="1425" w:type="dxa"/>
          </w:tcPr>
          <w:p w14:paraId="1D6F01D0" w14:textId="77777777" w:rsidR="003B0586" w:rsidRDefault="003B0586" w:rsidP="007579AC">
            <w:pPr>
              <w:rPr>
                <w:lang w:val="en-US"/>
              </w:rPr>
            </w:pPr>
            <w:r>
              <w:rPr>
                <w:lang w:val="en-US"/>
              </w:rPr>
              <w:t>399.9</w:t>
            </w:r>
          </w:p>
        </w:tc>
        <w:tc>
          <w:tcPr>
            <w:tcW w:w="1426" w:type="dxa"/>
          </w:tcPr>
          <w:p w14:paraId="46A53F2F" w14:textId="77777777" w:rsidR="003B0586" w:rsidRDefault="003B0586" w:rsidP="007579AC">
            <w:pPr>
              <w:rPr>
                <w:lang w:val="en-US"/>
              </w:rPr>
            </w:pPr>
            <w:r>
              <w:rPr>
                <w:lang w:val="en-US"/>
              </w:rPr>
              <w:t>5.3</w:t>
            </w:r>
            <w:r w:rsidRPr="00806960">
              <w:rPr>
                <w:rFonts w:ascii="ＭＳ ゴシック" w:eastAsia="ＭＳ ゴシック" w:hAnsi="ＭＳ ゴシック"/>
                <w:color w:val="000000"/>
              </w:rPr>
              <w:t>±</w:t>
            </w:r>
            <w:r>
              <w:rPr>
                <w:rFonts w:ascii="ＭＳ ゴシック" w:eastAsia="ＭＳ ゴシック" w:hAnsi="ＭＳ ゴシック"/>
                <w:color w:val="000000"/>
              </w:rPr>
              <w:t>1.3</w:t>
            </w:r>
          </w:p>
        </w:tc>
      </w:tr>
      <w:tr w:rsidR="003B0586" w14:paraId="2F051077" w14:textId="77777777" w:rsidTr="007579AC">
        <w:tc>
          <w:tcPr>
            <w:tcW w:w="1433" w:type="dxa"/>
            <w:vMerge w:val="restart"/>
          </w:tcPr>
          <w:p w14:paraId="00702188" w14:textId="77777777" w:rsidR="003B0586" w:rsidRDefault="003B0586" w:rsidP="007579AC">
            <w:pPr>
              <w:rPr>
                <w:lang w:val="en-US"/>
              </w:rPr>
            </w:pPr>
            <w:r>
              <w:rPr>
                <w:lang w:val="en-US"/>
              </w:rPr>
              <w:t>F 1s</w:t>
            </w:r>
          </w:p>
        </w:tc>
        <w:tc>
          <w:tcPr>
            <w:tcW w:w="1721" w:type="dxa"/>
          </w:tcPr>
          <w:p w14:paraId="68C30332" w14:textId="77777777" w:rsidR="003B0586" w:rsidRDefault="003B0586" w:rsidP="007579AC">
            <w:pPr>
              <w:rPr>
                <w:lang w:val="en-US"/>
              </w:rPr>
            </w:pPr>
            <w:r>
              <w:rPr>
                <w:lang w:val="en-US"/>
              </w:rPr>
              <w:t>[B</w:t>
            </w:r>
            <w:r w:rsidRPr="007579AC">
              <w:rPr>
                <w:b/>
                <w:lang w:val="en-US"/>
              </w:rPr>
              <w:t>F</w:t>
            </w:r>
            <w:r w:rsidRPr="007579AC">
              <w:rPr>
                <w:vertAlign w:val="subscript"/>
                <w:lang w:val="en-US"/>
              </w:rPr>
              <w:t>4</w:t>
            </w:r>
            <w:r>
              <w:rPr>
                <w:lang w:val="en-US"/>
              </w:rPr>
              <w:t>]</w:t>
            </w:r>
            <w:r w:rsidRPr="007579AC">
              <w:rPr>
                <w:vertAlign w:val="superscript"/>
                <w:lang w:val="en-US"/>
              </w:rPr>
              <w:t>-</w:t>
            </w:r>
          </w:p>
        </w:tc>
        <w:tc>
          <w:tcPr>
            <w:tcW w:w="1425" w:type="dxa"/>
          </w:tcPr>
          <w:p w14:paraId="1C5E7620" w14:textId="77777777" w:rsidR="003B0586" w:rsidRDefault="003B0586" w:rsidP="007579AC">
            <w:pPr>
              <w:rPr>
                <w:lang w:val="en-US"/>
              </w:rPr>
            </w:pPr>
            <w:r>
              <w:rPr>
                <w:lang w:val="en-US"/>
              </w:rPr>
              <w:t>686.4</w:t>
            </w:r>
          </w:p>
        </w:tc>
        <w:tc>
          <w:tcPr>
            <w:tcW w:w="1426" w:type="dxa"/>
          </w:tcPr>
          <w:p w14:paraId="6EE66A36" w14:textId="77777777" w:rsidR="003B0586" w:rsidRDefault="003B0586" w:rsidP="007579AC">
            <w:pPr>
              <w:rPr>
                <w:lang w:val="en-US"/>
              </w:rPr>
            </w:pPr>
            <w:r>
              <w:rPr>
                <w:lang w:val="en-US"/>
              </w:rPr>
              <w:t>44.0</w:t>
            </w:r>
            <w:r w:rsidRPr="00806960">
              <w:rPr>
                <w:rFonts w:ascii="ＭＳ ゴシック" w:eastAsia="ＭＳ ゴシック" w:hAnsi="ＭＳ ゴシック"/>
                <w:color w:val="000000"/>
              </w:rPr>
              <w:t>±</w:t>
            </w:r>
            <w:r>
              <w:rPr>
                <w:rFonts w:ascii="ＭＳ ゴシック" w:eastAsia="ＭＳ ゴシック" w:hAnsi="ＭＳ ゴシック"/>
                <w:color w:val="000000"/>
              </w:rPr>
              <w:t>1.8</w:t>
            </w:r>
          </w:p>
        </w:tc>
        <w:tc>
          <w:tcPr>
            <w:tcW w:w="1425" w:type="dxa"/>
          </w:tcPr>
          <w:p w14:paraId="1885897D" w14:textId="77777777" w:rsidR="003B0586" w:rsidRDefault="003B0586" w:rsidP="007579AC">
            <w:pPr>
              <w:rPr>
                <w:lang w:val="en-US"/>
              </w:rPr>
            </w:pPr>
            <w:r>
              <w:rPr>
                <w:lang w:val="en-US"/>
              </w:rPr>
              <w:t>686.4</w:t>
            </w:r>
          </w:p>
        </w:tc>
        <w:tc>
          <w:tcPr>
            <w:tcW w:w="1426" w:type="dxa"/>
          </w:tcPr>
          <w:p w14:paraId="55F83B3A" w14:textId="77777777" w:rsidR="003B0586" w:rsidRDefault="003B0586" w:rsidP="007579AC">
            <w:pPr>
              <w:rPr>
                <w:lang w:val="en-US"/>
              </w:rPr>
            </w:pPr>
            <w:r>
              <w:rPr>
                <w:lang w:val="en-US"/>
              </w:rPr>
              <w:t>100.0</w:t>
            </w:r>
          </w:p>
        </w:tc>
      </w:tr>
      <w:tr w:rsidR="003B0586" w14:paraId="2F3468E5" w14:textId="77777777" w:rsidTr="007579AC">
        <w:tc>
          <w:tcPr>
            <w:tcW w:w="1433" w:type="dxa"/>
            <w:vMerge/>
          </w:tcPr>
          <w:p w14:paraId="70556A63" w14:textId="77777777" w:rsidR="003B0586" w:rsidRDefault="003B0586" w:rsidP="007579AC">
            <w:pPr>
              <w:rPr>
                <w:lang w:val="en-US"/>
              </w:rPr>
            </w:pPr>
          </w:p>
        </w:tc>
        <w:tc>
          <w:tcPr>
            <w:tcW w:w="1721" w:type="dxa"/>
          </w:tcPr>
          <w:p w14:paraId="79AF682E" w14:textId="77777777" w:rsidR="003B0586" w:rsidRDefault="003B0586" w:rsidP="007579AC">
            <w:pPr>
              <w:rPr>
                <w:b/>
                <w:lang w:val="en-US"/>
              </w:rPr>
            </w:pPr>
            <w:r>
              <w:rPr>
                <w:lang w:val="en-US"/>
              </w:rPr>
              <w:t>Ti-</w:t>
            </w:r>
            <w:r w:rsidRPr="007579AC">
              <w:rPr>
                <w:b/>
                <w:lang w:val="en-US"/>
              </w:rPr>
              <w:t>F</w:t>
            </w:r>
          </w:p>
          <w:p w14:paraId="17DF4AE8" w14:textId="77777777" w:rsidR="003B0586" w:rsidRDefault="003B0586" w:rsidP="007579AC">
            <w:pPr>
              <w:rPr>
                <w:lang w:val="en-US"/>
              </w:rPr>
            </w:pPr>
          </w:p>
        </w:tc>
        <w:tc>
          <w:tcPr>
            <w:tcW w:w="1425" w:type="dxa"/>
          </w:tcPr>
          <w:p w14:paraId="6C497255" w14:textId="77777777" w:rsidR="003B0586" w:rsidRDefault="003B0586" w:rsidP="007579AC">
            <w:pPr>
              <w:rPr>
                <w:lang w:val="en-US"/>
              </w:rPr>
            </w:pPr>
            <w:r>
              <w:rPr>
                <w:lang w:val="en-US"/>
              </w:rPr>
              <w:t>684.6</w:t>
            </w:r>
          </w:p>
        </w:tc>
        <w:tc>
          <w:tcPr>
            <w:tcW w:w="1426" w:type="dxa"/>
          </w:tcPr>
          <w:p w14:paraId="58B40EBA" w14:textId="77777777" w:rsidR="003B0586" w:rsidRDefault="003B0586" w:rsidP="007579AC">
            <w:pPr>
              <w:rPr>
                <w:lang w:val="en-US"/>
              </w:rPr>
            </w:pPr>
            <w:r>
              <w:rPr>
                <w:lang w:val="en-US"/>
              </w:rPr>
              <w:t>56.0</w:t>
            </w:r>
            <w:r w:rsidRPr="00806960">
              <w:rPr>
                <w:rFonts w:ascii="ＭＳ ゴシック" w:eastAsia="ＭＳ ゴシック" w:hAnsi="ＭＳ ゴシック"/>
                <w:color w:val="000000"/>
              </w:rPr>
              <w:t>±</w:t>
            </w:r>
            <w:r>
              <w:rPr>
                <w:rFonts w:ascii="ＭＳ ゴシック" w:eastAsia="ＭＳ ゴシック" w:hAnsi="ＭＳ ゴシック"/>
                <w:color w:val="000000"/>
              </w:rPr>
              <w:t>1.8</w:t>
            </w:r>
          </w:p>
        </w:tc>
        <w:tc>
          <w:tcPr>
            <w:tcW w:w="1425" w:type="dxa"/>
          </w:tcPr>
          <w:p w14:paraId="0EA5EC7C" w14:textId="77777777" w:rsidR="003B0586" w:rsidRDefault="003B0586" w:rsidP="007579AC">
            <w:pPr>
              <w:rPr>
                <w:lang w:val="en-US"/>
              </w:rPr>
            </w:pPr>
            <w:r>
              <w:rPr>
                <w:lang w:val="en-US"/>
              </w:rPr>
              <w:t>-</w:t>
            </w:r>
          </w:p>
        </w:tc>
        <w:tc>
          <w:tcPr>
            <w:tcW w:w="1426" w:type="dxa"/>
          </w:tcPr>
          <w:p w14:paraId="0E6E0EA4" w14:textId="77777777" w:rsidR="003B0586" w:rsidRDefault="003B0586" w:rsidP="007579AC">
            <w:pPr>
              <w:rPr>
                <w:lang w:val="en-US"/>
              </w:rPr>
            </w:pPr>
            <w:r>
              <w:rPr>
                <w:lang w:val="en-US"/>
              </w:rPr>
              <w:t>0</w:t>
            </w:r>
          </w:p>
        </w:tc>
      </w:tr>
      <w:tr w:rsidR="003B0586" w14:paraId="4BCEE398" w14:textId="77777777" w:rsidTr="007579AC">
        <w:tc>
          <w:tcPr>
            <w:tcW w:w="1433" w:type="dxa"/>
            <w:vMerge w:val="restart"/>
          </w:tcPr>
          <w:p w14:paraId="61B1054A" w14:textId="77777777" w:rsidR="003B0586" w:rsidRDefault="003B0586" w:rsidP="007579AC">
            <w:pPr>
              <w:rPr>
                <w:lang w:val="en-US"/>
              </w:rPr>
            </w:pPr>
            <w:r>
              <w:rPr>
                <w:lang w:val="en-US"/>
              </w:rPr>
              <w:t>B 1s</w:t>
            </w:r>
          </w:p>
        </w:tc>
        <w:tc>
          <w:tcPr>
            <w:tcW w:w="1721" w:type="dxa"/>
          </w:tcPr>
          <w:p w14:paraId="5F24BFEC" w14:textId="77777777" w:rsidR="003B0586" w:rsidRDefault="003B0586" w:rsidP="007579AC">
            <w:pPr>
              <w:rPr>
                <w:lang w:val="en-US"/>
              </w:rPr>
            </w:pPr>
            <w:r>
              <w:rPr>
                <w:lang w:val="en-US"/>
              </w:rPr>
              <w:t>[</w:t>
            </w:r>
            <w:r w:rsidRPr="007579AC">
              <w:rPr>
                <w:b/>
                <w:lang w:val="en-US"/>
              </w:rPr>
              <w:t>B</w:t>
            </w:r>
            <w:r>
              <w:rPr>
                <w:lang w:val="en-US"/>
              </w:rPr>
              <w:t>F</w:t>
            </w:r>
            <w:r w:rsidRPr="007579AC">
              <w:rPr>
                <w:vertAlign w:val="subscript"/>
                <w:lang w:val="en-US"/>
              </w:rPr>
              <w:t>4</w:t>
            </w:r>
            <w:r>
              <w:rPr>
                <w:lang w:val="en-US"/>
              </w:rPr>
              <w:t>]</w:t>
            </w:r>
            <w:r w:rsidRPr="007579AC">
              <w:rPr>
                <w:vertAlign w:val="superscript"/>
                <w:lang w:val="en-US"/>
              </w:rPr>
              <w:t>-</w:t>
            </w:r>
          </w:p>
        </w:tc>
        <w:tc>
          <w:tcPr>
            <w:tcW w:w="1425" w:type="dxa"/>
          </w:tcPr>
          <w:p w14:paraId="1FE3AAFC" w14:textId="77777777" w:rsidR="003B0586" w:rsidRDefault="003B0586" w:rsidP="007579AC">
            <w:pPr>
              <w:rPr>
                <w:lang w:val="en-US"/>
              </w:rPr>
            </w:pPr>
            <w:r>
              <w:rPr>
                <w:lang w:val="en-US"/>
              </w:rPr>
              <w:t>194.6</w:t>
            </w:r>
          </w:p>
        </w:tc>
        <w:tc>
          <w:tcPr>
            <w:tcW w:w="1426" w:type="dxa"/>
          </w:tcPr>
          <w:p w14:paraId="7C234EC0" w14:textId="77777777" w:rsidR="003B0586" w:rsidRDefault="003B0586" w:rsidP="007579AC">
            <w:pPr>
              <w:rPr>
                <w:lang w:val="en-US"/>
              </w:rPr>
            </w:pPr>
            <w:r>
              <w:rPr>
                <w:lang w:val="en-US"/>
              </w:rPr>
              <w:t>81.2</w:t>
            </w:r>
            <w:r w:rsidRPr="00806960">
              <w:rPr>
                <w:rFonts w:ascii="ＭＳ ゴシック" w:eastAsia="ＭＳ ゴシック" w:hAnsi="ＭＳ ゴシック"/>
                <w:color w:val="000000"/>
              </w:rPr>
              <w:t>±</w:t>
            </w:r>
            <w:r>
              <w:rPr>
                <w:rFonts w:ascii="ＭＳ ゴシック" w:eastAsia="ＭＳ ゴシック" w:hAnsi="ＭＳ ゴシック"/>
                <w:color w:val="000000"/>
              </w:rPr>
              <w:t>4.7</w:t>
            </w:r>
          </w:p>
        </w:tc>
        <w:tc>
          <w:tcPr>
            <w:tcW w:w="1425" w:type="dxa"/>
          </w:tcPr>
          <w:p w14:paraId="71910758" w14:textId="77777777" w:rsidR="003B0586" w:rsidRDefault="003B0586" w:rsidP="007579AC">
            <w:pPr>
              <w:rPr>
                <w:lang w:val="en-US"/>
              </w:rPr>
            </w:pPr>
            <w:r>
              <w:rPr>
                <w:lang w:val="en-US"/>
              </w:rPr>
              <w:t>194.6</w:t>
            </w:r>
          </w:p>
        </w:tc>
        <w:tc>
          <w:tcPr>
            <w:tcW w:w="1426" w:type="dxa"/>
          </w:tcPr>
          <w:p w14:paraId="63D3B4E0" w14:textId="77777777" w:rsidR="003B0586" w:rsidRDefault="003B0586" w:rsidP="007579AC">
            <w:pPr>
              <w:rPr>
                <w:lang w:val="en-US"/>
              </w:rPr>
            </w:pPr>
            <w:r>
              <w:rPr>
                <w:lang w:val="en-US"/>
              </w:rPr>
              <w:t>100.0</w:t>
            </w:r>
          </w:p>
        </w:tc>
      </w:tr>
      <w:tr w:rsidR="003B0586" w14:paraId="0F06A0BF" w14:textId="77777777" w:rsidTr="007579AC">
        <w:tc>
          <w:tcPr>
            <w:tcW w:w="1433" w:type="dxa"/>
            <w:vMerge/>
          </w:tcPr>
          <w:p w14:paraId="5AFE1F79" w14:textId="77777777" w:rsidR="003B0586" w:rsidRDefault="003B0586" w:rsidP="007579AC">
            <w:pPr>
              <w:rPr>
                <w:lang w:val="en-US"/>
              </w:rPr>
            </w:pPr>
          </w:p>
        </w:tc>
        <w:tc>
          <w:tcPr>
            <w:tcW w:w="1721" w:type="dxa"/>
          </w:tcPr>
          <w:p w14:paraId="620A5C51" w14:textId="77777777" w:rsidR="003B0586" w:rsidRDefault="003B0586" w:rsidP="007579AC">
            <w:pPr>
              <w:rPr>
                <w:lang w:val="en-US"/>
              </w:rPr>
            </w:pPr>
            <w:r w:rsidRPr="007579AC">
              <w:rPr>
                <w:b/>
                <w:lang w:val="en-US"/>
              </w:rPr>
              <w:t>B</w:t>
            </w:r>
            <w:r>
              <w:rPr>
                <w:lang w:val="en-US"/>
              </w:rPr>
              <w:t>F</w:t>
            </w:r>
            <w:r w:rsidRPr="007579AC">
              <w:rPr>
                <w:vertAlign w:val="subscript"/>
                <w:lang w:val="en-US"/>
              </w:rPr>
              <w:t>3</w:t>
            </w:r>
          </w:p>
        </w:tc>
        <w:tc>
          <w:tcPr>
            <w:tcW w:w="1425" w:type="dxa"/>
          </w:tcPr>
          <w:p w14:paraId="428476D4" w14:textId="77777777" w:rsidR="003B0586" w:rsidRDefault="003B0586" w:rsidP="007579AC">
            <w:pPr>
              <w:rPr>
                <w:lang w:val="en-US"/>
              </w:rPr>
            </w:pPr>
            <w:r>
              <w:rPr>
                <w:lang w:val="en-US"/>
              </w:rPr>
              <w:t>193.1</w:t>
            </w:r>
          </w:p>
        </w:tc>
        <w:tc>
          <w:tcPr>
            <w:tcW w:w="1426" w:type="dxa"/>
          </w:tcPr>
          <w:p w14:paraId="6ECF6FF7" w14:textId="77777777" w:rsidR="003B0586" w:rsidRDefault="003B0586" w:rsidP="007579AC">
            <w:pPr>
              <w:rPr>
                <w:lang w:val="en-US"/>
              </w:rPr>
            </w:pPr>
            <w:r>
              <w:rPr>
                <w:lang w:val="en-US"/>
              </w:rPr>
              <w:t>18.8</w:t>
            </w:r>
            <w:r w:rsidRPr="00806960">
              <w:rPr>
                <w:rFonts w:ascii="ＭＳ ゴシック" w:eastAsia="ＭＳ ゴシック" w:hAnsi="ＭＳ ゴシック"/>
                <w:color w:val="000000"/>
              </w:rPr>
              <w:t>±</w:t>
            </w:r>
            <w:r>
              <w:rPr>
                <w:rFonts w:ascii="ＭＳ ゴシック" w:eastAsia="ＭＳ ゴシック" w:hAnsi="ＭＳ ゴシック"/>
                <w:color w:val="000000"/>
              </w:rPr>
              <w:t>4.7</w:t>
            </w:r>
          </w:p>
        </w:tc>
        <w:tc>
          <w:tcPr>
            <w:tcW w:w="1425" w:type="dxa"/>
          </w:tcPr>
          <w:p w14:paraId="2707457A" w14:textId="77777777" w:rsidR="003B0586" w:rsidRDefault="003B0586" w:rsidP="007579AC">
            <w:pPr>
              <w:rPr>
                <w:lang w:val="en-US"/>
              </w:rPr>
            </w:pPr>
            <w:r>
              <w:rPr>
                <w:lang w:val="en-US"/>
              </w:rPr>
              <w:t>-</w:t>
            </w:r>
          </w:p>
        </w:tc>
        <w:tc>
          <w:tcPr>
            <w:tcW w:w="1426" w:type="dxa"/>
          </w:tcPr>
          <w:p w14:paraId="5D011EC7" w14:textId="77777777" w:rsidR="003B0586" w:rsidRDefault="003B0586" w:rsidP="007579AC">
            <w:pPr>
              <w:rPr>
                <w:lang w:val="en-US"/>
              </w:rPr>
            </w:pPr>
            <w:r>
              <w:rPr>
                <w:lang w:val="en-US"/>
              </w:rPr>
              <w:t>0</w:t>
            </w:r>
          </w:p>
        </w:tc>
      </w:tr>
    </w:tbl>
    <w:p w14:paraId="643F0DCA" w14:textId="77777777" w:rsidR="00463B4C" w:rsidRDefault="00463B4C" w:rsidP="001557AB">
      <w:pPr>
        <w:widowControl w:val="0"/>
        <w:autoSpaceDE w:val="0"/>
        <w:autoSpaceDN w:val="0"/>
        <w:adjustRightInd w:val="0"/>
        <w:spacing w:after="240" w:line="280" w:lineRule="atLeast"/>
        <w:jc w:val="both"/>
        <w:rPr>
          <w:rFonts w:ascii="Cambria" w:hAnsi="Cambria"/>
          <w:b/>
        </w:rPr>
      </w:pPr>
    </w:p>
    <w:p w14:paraId="6200E961" w14:textId="77777777" w:rsidR="00463B4C" w:rsidRDefault="00463B4C" w:rsidP="001557AB">
      <w:pPr>
        <w:widowControl w:val="0"/>
        <w:autoSpaceDE w:val="0"/>
        <w:autoSpaceDN w:val="0"/>
        <w:adjustRightInd w:val="0"/>
        <w:spacing w:after="240" w:line="280" w:lineRule="atLeast"/>
        <w:jc w:val="both"/>
        <w:rPr>
          <w:rFonts w:ascii="Cambria" w:hAnsi="Cambria"/>
          <w:b/>
        </w:rPr>
      </w:pPr>
    </w:p>
    <w:p w14:paraId="580616C3" w14:textId="77777777" w:rsidR="00463B4C" w:rsidRDefault="00463B4C" w:rsidP="001557AB">
      <w:pPr>
        <w:widowControl w:val="0"/>
        <w:autoSpaceDE w:val="0"/>
        <w:autoSpaceDN w:val="0"/>
        <w:adjustRightInd w:val="0"/>
        <w:spacing w:after="240" w:line="280" w:lineRule="atLeast"/>
        <w:jc w:val="both"/>
        <w:rPr>
          <w:rFonts w:ascii="Cambria" w:hAnsi="Cambria"/>
          <w:b/>
        </w:rPr>
      </w:pPr>
    </w:p>
    <w:p w14:paraId="7CA41F96" w14:textId="77777777" w:rsidR="00463B4C" w:rsidRDefault="00463B4C" w:rsidP="001557AB">
      <w:pPr>
        <w:widowControl w:val="0"/>
        <w:autoSpaceDE w:val="0"/>
        <w:autoSpaceDN w:val="0"/>
        <w:adjustRightInd w:val="0"/>
        <w:spacing w:after="240" w:line="280" w:lineRule="atLeast"/>
        <w:jc w:val="both"/>
        <w:rPr>
          <w:rFonts w:ascii="Cambria" w:hAnsi="Cambria"/>
          <w:b/>
        </w:rPr>
      </w:pPr>
    </w:p>
    <w:p w14:paraId="3F5CBB26" w14:textId="77777777" w:rsidR="00463B4C" w:rsidRDefault="00463B4C" w:rsidP="001557AB">
      <w:pPr>
        <w:widowControl w:val="0"/>
        <w:autoSpaceDE w:val="0"/>
        <w:autoSpaceDN w:val="0"/>
        <w:adjustRightInd w:val="0"/>
        <w:spacing w:after="240" w:line="280" w:lineRule="atLeast"/>
        <w:jc w:val="both"/>
        <w:rPr>
          <w:rFonts w:ascii="Cambria" w:hAnsi="Cambria"/>
          <w:b/>
        </w:rPr>
      </w:pPr>
    </w:p>
    <w:p w14:paraId="63846BCE" w14:textId="77777777" w:rsidR="00463B4C" w:rsidRDefault="00463B4C" w:rsidP="001557AB">
      <w:pPr>
        <w:widowControl w:val="0"/>
        <w:autoSpaceDE w:val="0"/>
        <w:autoSpaceDN w:val="0"/>
        <w:adjustRightInd w:val="0"/>
        <w:spacing w:after="240" w:line="280" w:lineRule="atLeast"/>
        <w:jc w:val="both"/>
        <w:rPr>
          <w:rFonts w:ascii="Cambria" w:hAnsi="Cambria"/>
          <w:b/>
        </w:rPr>
      </w:pPr>
    </w:p>
    <w:p w14:paraId="6A28B738" w14:textId="77777777" w:rsidR="00463B4C" w:rsidRDefault="00463B4C" w:rsidP="001557AB">
      <w:pPr>
        <w:widowControl w:val="0"/>
        <w:autoSpaceDE w:val="0"/>
        <w:autoSpaceDN w:val="0"/>
        <w:adjustRightInd w:val="0"/>
        <w:spacing w:after="240" w:line="280" w:lineRule="atLeast"/>
        <w:jc w:val="both"/>
        <w:rPr>
          <w:rFonts w:ascii="Cambria" w:hAnsi="Cambria"/>
          <w:b/>
        </w:rPr>
      </w:pPr>
    </w:p>
    <w:p w14:paraId="3709C313" w14:textId="77777777" w:rsidR="00463B4C" w:rsidRDefault="00463B4C" w:rsidP="001557AB">
      <w:pPr>
        <w:widowControl w:val="0"/>
        <w:autoSpaceDE w:val="0"/>
        <w:autoSpaceDN w:val="0"/>
        <w:adjustRightInd w:val="0"/>
        <w:spacing w:after="240" w:line="280" w:lineRule="atLeast"/>
        <w:jc w:val="both"/>
        <w:rPr>
          <w:rFonts w:ascii="Cambria" w:hAnsi="Cambria"/>
          <w:b/>
        </w:rPr>
      </w:pPr>
    </w:p>
    <w:p w14:paraId="0C8D80AE" w14:textId="77777777" w:rsidR="00463B4C" w:rsidRDefault="00463B4C" w:rsidP="001557AB">
      <w:pPr>
        <w:widowControl w:val="0"/>
        <w:autoSpaceDE w:val="0"/>
        <w:autoSpaceDN w:val="0"/>
        <w:adjustRightInd w:val="0"/>
        <w:spacing w:after="240" w:line="280" w:lineRule="atLeast"/>
        <w:jc w:val="both"/>
        <w:rPr>
          <w:rFonts w:ascii="Cambria" w:hAnsi="Cambria"/>
          <w:b/>
        </w:rPr>
      </w:pPr>
    </w:p>
    <w:p w14:paraId="2B8E3F58" w14:textId="77777777" w:rsidR="00463B4C" w:rsidRDefault="00463B4C" w:rsidP="001557AB">
      <w:pPr>
        <w:widowControl w:val="0"/>
        <w:autoSpaceDE w:val="0"/>
        <w:autoSpaceDN w:val="0"/>
        <w:adjustRightInd w:val="0"/>
        <w:spacing w:after="240" w:line="280" w:lineRule="atLeast"/>
        <w:jc w:val="both"/>
        <w:rPr>
          <w:rFonts w:ascii="Cambria" w:hAnsi="Cambria"/>
          <w:b/>
        </w:rPr>
      </w:pPr>
    </w:p>
    <w:p w14:paraId="0B20EC49" w14:textId="77777777" w:rsidR="00463B4C" w:rsidRDefault="00463B4C" w:rsidP="001557AB">
      <w:pPr>
        <w:widowControl w:val="0"/>
        <w:autoSpaceDE w:val="0"/>
        <w:autoSpaceDN w:val="0"/>
        <w:adjustRightInd w:val="0"/>
        <w:spacing w:after="240" w:line="280" w:lineRule="atLeast"/>
        <w:jc w:val="both"/>
        <w:rPr>
          <w:rFonts w:ascii="Cambria" w:hAnsi="Cambria"/>
          <w:b/>
        </w:rPr>
      </w:pPr>
    </w:p>
    <w:p w14:paraId="1E6503F6" w14:textId="0355B24E" w:rsidR="002C6AC0" w:rsidRPr="001557AB" w:rsidRDefault="007579AC" w:rsidP="001557AB">
      <w:pPr>
        <w:widowControl w:val="0"/>
        <w:autoSpaceDE w:val="0"/>
        <w:autoSpaceDN w:val="0"/>
        <w:adjustRightInd w:val="0"/>
        <w:spacing w:after="240" w:line="280" w:lineRule="atLeast"/>
        <w:jc w:val="both"/>
        <w:rPr>
          <w:rFonts w:ascii="Cambria" w:hAnsi="Cambria"/>
        </w:rPr>
      </w:pPr>
      <w:r>
        <w:rPr>
          <w:rFonts w:ascii="Cambria" w:hAnsi="Cambria"/>
          <w:b/>
        </w:rPr>
        <w:t>S.5</w:t>
      </w:r>
      <w:r w:rsidR="00A13BC4" w:rsidRPr="00CB6537">
        <w:rPr>
          <w:rFonts w:ascii="Cambria" w:hAnsi="Cambria"/>
        </w:rPr>
        <w:t xml:space="preserve"> </w:t>
      </w:r>
      <w:r w:rsidR="00A13BC4" w:rsidRPr="00CB6537">
        <w:rPr>
          <w:rFonts w:ascii="Cambria" w:hAnsi="Cambria" w:cs="Cambria"/>
          <w:lang w:val="en-US"/>
        </w:rPr>
        <w:t xml:space="preserve">Shows the </w:t>
      </w:r>
      <w:r w:rsidR="00CB6537" w:rsidRPr="00CB6537">
        <w:rPr>
          <w:rFonts w:ascii="Cambria" w:hAnsi="Cambria" w:cs="Cambria"/>
          <w:lang w:val="en-US"/>
        </w:rPr>
        <w:t xml:space="preserve">angle resolved C K edge </w:t>
      </w:r>
      <w:r w:rsidR="00A13BC4" w:rsidRPr="00CB6537">
        <w:rPr>
          <w:rFonts w:ascii="Cambria" w:hAnsi="Cambria" w:cs="Cambria"/>
          <w:lang w:val="en-US"/>
        </w:rPr>
        <w:t>NEXAFS spectra</w:t>
      </w:r>
      <w:r w:rsidR="00CB6537" w:rsidRPr="00CB6537">
        <w:rPr>
          <w:rFonts w:ascii="Cambria" w:hAnsi="Cambria" w:cs="Cambria"/>
          <w:lang w:val="en-US"/>
        </w:rPr>
        <w:t xml:space="preserve"> </w:t>
      </w:r>
      <w:r w:rsidR="00CB6537" w:rsidRPr="00CB6537">
        <w:rPr>
          <w:rFonts w:ascii="Cambria" w:hAnsi="Cambria" w:cs="Times"/>
          <w:lang w:val="en-US"/>
        </w:rPr>
        <w:t>for the thin layer of</w:t>
      </w:r>
      <w:r w:rsidR="00CB6537">
        <w:rPr>
          <w:rFonts w:ascii="Cambria" w:hAnsi="Cambria" w:cs="Times"/>
          <w:lang w:val="en-US"/>
        </w:rPr>
        <w:t xml:space="preserve"> </w:t>
      </w:r>
      <w:r w:rsidR="00CB6537">
        <w:rPr>
          <w:rFonts w:ascii="Cambria" w:hAnsi="Cambria"/>
        </w:rPr>
        <w:t>[</w:t>
      </w:r>
      <w:r w:rsidR="00CB6537" w:rsidRPr="00DB7D8B">
        <w:rPr>
          <w:rFonts w:ascii="Cambria" w:hAnsi="Cambria"/>
        </w:rPr>
        <w:t>C</w:t>
      </w:r>
      <w:r w:rsidR="00CB6537" w:rsidRPr="00DB7D8B">
        <w:rPr>
          <w:rFonts w:ascii="Cambria" w:hAnsi="Cambria"/>
          <w:vertAlign w:val="subscript"/>
        </w:rPr>
        <w:t>4</w:t>
      </w:r>
      <w:r w:rsidR="00CB6537" w:rsidRPr="00DB7D8B">
        <w:rPr>
          <w:rFonts w:ascii="Cambria" w:hAnsi="Cambria"/>
        </w:rPr>
        <w:t>C</w:t>
      </w:r>
      <w:r w:rsidR="00CB6537" w:rsidRPr="00DB7D8B">
        <w:rPr>
          <w:rFonts w:ascii="Cambria" w:hAnsi="Cambria"/>
          <w:vertAlign w:val="subscript"/>
        </w:rPr>
        <w:t>1</w:t>
      </w:r>
      <w:r w:rsidR="00CB6537" w:rsidRPr="002C6AC0">
        <w:rPr>
          <w:rFonts w:ascii="Cambria" w:hAnsi="Cambria"/>
        </w:rPr>
        <w:t>Im]</w:t>
      </w:r>
      <w:r w:rsidR="00CB6537" w:rsidRPr="00CB6537">
        <w:rPr>
          <w:rFonts w:ascii="Cambria" w:hAnsi="Cambria"/>
        </w:rPr>
        <w:t>[BF</w:t>
      </w:r>
      <w:r w:rsidR="00CB6537" w:rsidRPr="00CB6537">
        <w:rPr>
          <w:rFonts w:ascii="Cambria" w:hAnsi="Cambria"/>
          <w:vertAlign w:val="subscript"/>
        </w:rPr>
        <w:t>4</w:t>
      </w:r>
      <w:r w:rsidR="00CB6537" w:rsidRPr="00CB6537">
        <w:rPr>
          <w:rFonts w:ascii="Cambria" w:hAnsi="Cambria"/>
        </w:rPr>
        <w:t>]</w:t>
      </w:r>
      <w:r w:rsidR="00CB6537">
        <w:rPr>
          <w:rFonts w:ascii="Cambria" w:hAnsi="Cambria"/>
        </w:rPr>
        <w:t xml:space="preserve"> </w:t>
      </w:r>
      <w:r w:rsidR="00CB6537" w:rsidRPr="00CB6537">
        <w:rPr>
          <w:rFonts w:ascii="Cambria" w:hAnsi="Cambria" w:cs="Times"/>
          <w:lang w:val="en-US"/>
        </w:rPr>
        <w:t xml:space="preserve">adsorbed on </w:t>
      </w:r>
      <w:proofErr w:type="spellStart"/>
      <w:r w:rsidR="00CB6537" w:rsidRPr="00CB6537">
        <w:rPr>
          <w:rFonts w:ascii="Cambria" w:hAnsi="Cambria" w:cs="Times"/>
          <w:lang w:val="en-US"/>
        </w:rPr>
        <w:t>anatase</w:t>
      </w:r>
      <w:proofErr w:type="spellEnd"/>
      <w:r w:rsidR="00CB6537" w:rsidRPr="00CB6537">
        <w:rPr>
          <w:rFonts w:ascii="Cambria" w:hAnsi="Cambria" w:cs="Times"/>
          <w:lang w:val="en-US"/>
        </w:rPr>
        <w:t xml:space="preserve"> </w:t>
      </w:r>
      <w:proofErr w:type="gramStart"/>
      <w:r w:rsidR="00CB6537" w:rsidRPr="00CB6537">
        <w:rPr>
          <w:rFonts w:ascii="Cambria" w:hAnsi="Cambria" w:cs="Times"/>
          <w:lang w:val="en-US"/>
        </w:rPr>
        <w:t>Ti</w:t>
      </w:r>
      <w:r w:rsidR="000404B0">
        <w:rPr>
          <w:rFonts w:ascii="Cambria" w:hAnsi="Cambria" w:cs="Times"/>
          <w:lang w:val="en-US"/>
        </w:rPr>
        <w:t>O</w:t>
      </w:r>
      <w:r w:rsidR="000404B0" w:rsidRPr="000404B0">
        <w:rPr>
          <w:rFonts w:ascii="Cambria" w:hAnsi="Cambria" w:cs="Times"/>
          <w:vertAlign w:val="subscript"/>
          <w:lang w:val="en-US"/>
        </w:rPr>
        <w:t>2</w:t>
      </w:r>
      <w:r w:rsidR="00CB6537" w:rsidRPr="00CB6537">
        <w:rPr>
          <w:rFonts w:ascii="Cambria" w:hAnsi="Cambria" w:cs="Times"/>
          <w:lang w:val="en-US"/>
        </w:rPr>
        <w:t>(</w:t>
      </w:r>
      <w:proofErr w:type="gramEnd"/>
      <w:r w:rsidR="00CB6537" w:rsidRPr="00CB6537">
        <w:rPr>
          <w:rFonts w:ascii="Cambria" w:hAnsi="Cambria" w:cs="Times"/>
          <w:lang w:val="en-US"/>
        </w:rPr>
        <w:t>101)</w:t>
      </w:r>
      <w:r w:rsidR="00CB6537">
        <w:rPr>
          <w:rFonts w:ascii="Cambria" w:hAnsi="Cambria" w:cs="Times"/>
          <w:lang w:val="en-US"/>
        </w:rPr>
        <w:t xml:space="preserve"> (left)</w:t>
      </w:r>
      <w:r w:rsidR="00CB6537" w:rsidRPr="00CB6537">
        <w:rPr>
          <w:rFonts w:ascii="Cambria" w:hAnsi="Cambria" w:cs="Times"/>
          <w:lang w:val="en-US"/>
        </w:rPr>
        <w:t>.</w:t>
      </w:r>
      <w:r w:rsidR="00CB6537">
        <w:rPr>
          <w:rFonts w:ascii="Cambria" w:hAnsi="Cambria" w:cs="Times"/>
          <w:lang w:val="en-US"/>
        </w:rPr>
        <w:t xml:space="preserve"> </w:t>
      </w:r>
      <w:r w:rsidR="002C6AC0" w:rsidRPr="002C6AC0">
        <w:rPr>
          <w:rFonts w:ascii="Cambria" w:hAnsi="Cambria"/>
        </w:rPr>
        <w:t>Included</w:t>
      </w:r>
      <w:r w:rsidR="002C6AC0">
        <w:rPr>
          <w:rFonts w:ascii="Cambria" w:hAnsi="Cambria"/>
        </w:rPr>
        <w:t xml:space="preserve"> </w:t>
      </w:r>
      <w:r w:rsidR="002C6AC0" w:rsidRPr="002C6AC0">
        <w:rPr>
          <w:rFonts w:ascii="Cambria" w:hAnsi="Cambria"/>
        </w:rPr>
        <w:t xml:space="preserve">is the plot of peak intensity versus incidence angle </w:t>
      </w:r>
      <w:r w:rsidR="00CB6537">
        <w:rPr>
          <w:rFonts w:ascii="Cambria" w:hAnsi="Cambria"/>
        </w:rPr>
        <w:t>for a thin layer of [</w:t>
      </w:r>
      <w:r w:rsidR="00CB6537" w:rsidRPr="00DB7D8B">
        <w:rPr>
          <w:rFonts w:ascii="Cambria" w:hAnsi="Cambria"/>
        </w:rPr>
        <w:t>C</w:t>
      </w:r>
      <w:r w:rsidR="00CB6537" w:rsidRPr="00DB7D8B">
        <w:rPr>
          <w:rFonts w:ascii="Cambria" w:hAnsi="Cambria"/>
          <w:vertAlign w:val="subscript"/>
        </w:rPr>
        <w:t>4</w:t>
      </w:r>
      <w:r w:rsidR="00CB6537" w:rsidRPr="00DB7D8B">
        <w:rPr>
          <w:rFonts w:ascii="Cambria" w:hAnsi="Cambria"/>
        </w:rPr>
        <w:t>C</w:t>
      </w:r>
      <w:r w:rsidR="00CB6537" w:rsidRPr="00DB7D8B">
        <w:rPr>
          <w:rFonts w:ascii="Cambria" w:hAnsi="Cambria"/>
          <w:vertAlign w:val="subscript"/>
        </w:rPr>
        <w:t>1</w:t>
      </w:r>
      <w:r w:rsidR="00CB6537" w:rsidRPr="002C6AC0">
        <w:rPr>
          <w:rFonts w:ascii="Cambria" w:hAnsi="Cambria"/>
        </w:rPr>
        <w:t>Im]</w:t>
      </w:r>
      <w:r w:rsidR="00CB6537" w:rsidRPr="00CB6537">
        <w:rPr>
          <w:rFonts w:ascii="Cambria" w:hAnsi="Cambria"/>
        </w:rPr>
        <w:t>[BF</w:t>
      </w:r>
      <w:r w:rsidR="00CB6537" w:rsidRPr="00CB6537">
        <w:rPr>
          <w:rFonts w:ascii="Cambria" w:hAnsi="Cambria"/>
          <w:vertAlign w:val="subscript"/>
        </w:rPr>
        <w:t>4</w:t>
      </w:r>
      <w:r w:rsidR="00CB6537" w:rsidRPr="00CB6537">
        <w:rPr>
          <w:rFonts w:ascii="Cambria" w:hAnsi="Cambria"/>
        </w:rPr>
        <w:t>]</w:t>
      </w:r>
      <w:r w:rsidR="00CB6537">
        <w:rPr>
          <w:rFonts w:ascii="Cambria" w:hAnsi="Cambria"/>
        </w:rPr>
        <w:t xml:space="preserve"> (right) </w:t>
      </w:r>
      <w:r w:rsidR="002C6AC0" w:rsidRPr="002C6AC0">
        <w:rPr>
          <w:rFonts w:ascii="Cambria" w:hAnsi="Cambria"/>
        </w:rPr>
        <w:t>and the corresponding</w:t>
      </w:r>
      <w:r w:rsidR="002C6AC0">
        <w:rPr>
          <w:rFonts w:ascii="Cambria" w:hAnsi="Cambria"/>
        </w:rPr>
        <w:t xml:space="preserve"> fit to the equations of </w:t>
      </w:r>
      <w:proofErr w:type="spellStart"/>
      <w:r w:rsidR="002C6AC0">
        <w:rPr>
          <w:rFonts w:ascii="Cambria" w:hAnsi="Cambria"/>
        </w:rPr>
        <w:t>St</w:t>
      </w:r>
      <w:r w:rsidR="00883F81">
        <w:rPr>
          <w:rFonts w:ascii="Cambria" w:hAnsi="Cambria"/>
        </w:rPr>
        <w:t>ö</w:t>
      </w:r>
      <w:r w:rsidR="002C6AC0" w:rsidRPr="002C6AC0">
        <w:rPr>
          <w:rFonts w:ascii="Cambria" w:hAnsi="Cambria"/>
        </w:rPr>
        <w:t>hr</w:t>
      </w:r>
      <w:proofErr w:type="spellEnd"/>
      <w:r w:rsidR="002C6AC0" w:rsidRPr="002C6AC0">
        <w:rPr>
          <w:rFonts w:ascii="Cambria" w:hAnsi="Cambria"/>
        </w:rPr>
        <w:t xml:space="preserve"> for a surfac</w:t>
      </w:r>
      <w:r w:rsidR="00DB7D8B">
        <w:rPr>
          <w:rFonts w:ascii="Cambria" w:hAnsi="Cambria"/>
        </w:rPr>
        <w:t>e of 2-fold or higher symmetry</w:t>
      </w:r>
      <w:r w:rsidR="00463B4C">
        <w:rPr>
          <w:rFonts w:ascii="Cambria" w:hAnsi="Cambria"/>
        </w:rPr>
        <w:t>.</w:t>
      </w:r>
      <w:r w:rsidR="00463B4C">
        <w:rPr>
          <w:rFonts w:ascii="Cambria" w:hAnsi="Cambria"/>
        </w:rPr>
        <w:fldChar w:fldCharType="begin" w:fldLock="1"/>
      </w:r>
      <w:r w:rsidR="00463B4C">
        <w:rPr>
          <w:rFonts w:ascii="Cambria" w:hAnsi="Cambria"/>
        </w:rPr>
        <w:instrText>ADDIN CSL_CITATION { "citationItems" : [ { "id" : "ITEM-1", "itemData" : { "author" : [ { "dropping-particle" : "", "family" : "Sto\u0308hr", "given" : "J.", "non-dropping-particle" : "", "parse-names" : false, "suffix" : "" } ], "id" : "ITEM-1", "issued" : { "date-parts" : [ [ "2003" ] ] }, "publisher" : "Springer-Verlag: Berlin", "title" : "NEXAFS spectroscopy", "type" : "book" }, "uris" : [ "http://www.mendeley.com/documents/?uuid=7c458684-3660-4c19-8c0a-946f2eac4e14" ] } ], "mendeley" : { "formattedCitation" : "&lt;sup&gt;[3]&lt;/sup&gt;", "plainTextFormattedCitation" : "[3]", "previouslyFormattedCitation" : "&lt;sup&gt;[3]&lt;/sup&gt;" }, "properties" : { "noteIndex" : 0 }, "schema" : "https://github.com/citation-style-language/schema/raw/master/csl-citation.json" }</w:instrText>
      </w:r>
      <w:r w:rsidR="00463B4C">
        <w:rPr>
          <w:rFonts w:ascii="Cambria" w:hAnsi="Cambria"/>
        </w:rPr>
        <w:fldChar w:fldCharType="separate"/>
      </w:r>
      <w:r w:rsidR="00463B4C" w:rsidRPr="00463B4C">
        <w:rPr>
          <w:rFonts w:ascii="Cambria" w:hAnsi="Cambria"/>
          <w:noProof/>
          <w:vertAlign w:val="superscript"/>
        </w:rPr>
        <w:t>[3]</w:t>
      </w:r>
      <w:r w:rsidR="00463B4C">
        <w:rPr>
          <w:rFonts w:ascii="Cambria" w:hAnsi="Cambria"/>
        </w:rPr>
        <w:fldChar w:fldCharType="end"/>
      </w:r>
      <w:r w:rsidR="000404B0">
        <w:rPr>
          <w:rFonts w:ascii="Cambria" w:hAnsi="Cambria"/>
        </w:rPr>
        <w:t xml:space="preserve"> </w:t>
      </w:r>
      <w:r w:rsidR="002C6AC0" w:rsidRPr="002C6AC0">
        <w:rPr>
          <w:rFonts w:ascii="Cambria" w:hAnsi="Cambria"/>
        </w:rPr>
        <w:t>The fitting gives a tilt angle for the plan</w:t>
      </w:r>
      <w:r w:rsidR="00883F81">
        <w:rPr>
          <w:rFonts w:ascii="Cambria" w:hAnsi="Cambria"/>
        </w:rPr>
        <w:t xml:space="preserve">e of the </w:t>
      </w:r>
      <w:proofErr w:type="spellStart"/>
      <w:r w:rsidR="00883F81">
        <w:rPr>
          <w:rFonts w:ascii="Cambria" w:hAnsi="Cambria"/>
        </w:rPr>
        <w:t>imidazolium</w:t>
      </w:r>
      <w:proofErr w:type="spellEnd"/>
      <w:r w:rsidR="00883F81">
        <w:rPr>
          <w:rFonts w:ascii="Cambria" w:hAnsi="Cambria"/>
        </w:rPr>
        <w:t xml:space="preserve"> ring of 34 ± 4° </w:t>
      </w:r>
      <w:r w:rsidR="002C6AC0" w:rsidRPr="002C6AC0">
        <w:rPr>
          <w:rFonts w:ascii="Cambria" w:hAnsi="Cambria"/>
        </w:rPr>
        <w:t>relative to the surface. This angle roug</w:t>
      </w:r>
      <w:r w:rsidR="00DB7D8B">
        <w:rPr>
          <w:rFonts w:ascii="Cambria" w:hAnsi="Cambria"/>
        </w:rPr>
        <w:t>hly correlates with the [</w:t>
      </w:r>
      <w:r w:rsidR="00DB7D8B" w:rsidRPr="00DB7D8B">
        <w:rPr>
          <w:rFonts w:ascii="Cambria" w:hAnsi="Cambria"/>
        </w:rPr>
        <w:t>C</w:t>
      </w:r>
      <w:r w:rsidR="00DB7D8B" w:rsidRPr="00DB7D8B">
        <w:rPr>
          <w:rFonts w:ascii="Cambria" w:hAnsi="Cambria"/>
          <w:vertAlign w:val="subscript"/>
        </w:rPr>
        <w:t>4</w:t>
      </w:r>
      <w:r w:rsidR="002C6AC0" w:rsidRPr="00DB7D8B">
        <w:rPr>
          <w:rFonts w:ascii="Cambria" w:hAnsi="Cambria"/>
        </w:rPr>
        <w:t>C</w:t>
      </w:r>
      <w:r w:rsidR="00DB7D8B" w:rsidRPr="00DB7D8B">
        <w:rPr>
          <w:rFonts w:ascii="Cambria" w:hAnsi="Cambria"/>
          <w:vertAlign w:val="subscript"/>
        </w:rPr>
        <w:t>1</w:t>
      </w:r>
      <w:r w:rsidR="002C6AC0" w:rsidRPr="002C6AC0">
        <w:rPr>
          <w:rFonts w:ascii="Cambria" w:hAnsi="Cambria"/>
        </w:rPr>
        <w:t>Im]</w:t>
      </w:r>
      <w:r w:rsidR="00DB7D8B" w:rsidRPr="00DB7D8B">
        <w:rPr>
          <w:rFonts w:ascii="Cambria" w:hAnsi="Cambria"/>
          <w:vertAlign w:val="superscript"/>
        </w:rPr>
        <w:t>+</w:t>
      </w:r>
      <w:r w:rsidR="002C6AC0" w:rsidRPr="002C6AC0">
        <w:rPr>
          <w:rFonts w:ascii="Cambria" w:hAnsi="Cambria"/>
        </w:rPr>
        <w:t xml:space="preserve"> </w:t>
      </w:r>
      <w:proofErr w:type="spellStart"/>
      <w:r w:rsidR="002C6AC0" w:rsidRPr="002C6AC0">
        <w:rPr>
          <w:rFonts w:ascii="Cambria" w:hAnsi="Cambria"/>
        </w:rPr>
        <w:t>cation</w:t>
      </w:r>
      <w:proofErr w:type="spellEnd"/>
      <w:r w:rsidR="002C6AC0" w:rsidRPr="002C6AC0">
        <w:rPr>
          <w:rFonts w:ascii="Cambria" w:hAnsi="Cambria"/>
        </w:rPr>
        <w:t xml:space="preserve"> lying parallel to the </w:t>
      </w:r>
      <w:proofErr w:type="spellStart"/>
      <w:r w:rsidR="002C6AC0" w:rsidRPr="002C6AC0">
        <w:rPr>
          <w:rFonts w:ascii="Cambria" w:hAnsi="Cambria"/>
        </w:rPr>
        <w:t>sawtooth</w:t>
      </w:r>
      <w:proofErr w:type="spellEnd"/>
      <w:r w:rsidR="002C6AC0" w:rsidRPr="002C6AC0">
        <w:rPr>
          <w:rFonts w:ascii="Cambria" w:hAnsi="Cambria"/>
        </w:rPr>
        <w:t xml:space="preserve"> structure of the </w:t>
      </w:r>
      <w:proofErr w:type="spellStart"/>
      <w:proofErr w:type="gramStart"/>
      <w:r w:rsidR="002C6AC0" w:rsidRPr="002C6AC0">
        <w:rPr>
          <w:rFonts w:ascii="Cambria" w:hAnsi="Cambria"/>
        </w:rPr>
        <w:t>anatase</w:t>
      </w:r>
      <w:proofErr w:type="spellEnd"/>
      <w:r w:rsidR="002C6AC0" w:rsidRPr="002C6AC0">
        <w:rPr>
          <w:rFonts w:ascii="Cambria" w:hAnsi="Cambria"/>
        </w:rPr>
        <w:t>(</w:t>
      </w:r>
      <w:proofErr w:type="gramEnd"/>
      <w:r w:rsidR="002C6AC0" w:rsidRPr="002C6AC0">
        <w:rPr>
          <w:rFonts w:ascii="Cambria" w:hAnsi="Cambria"/>
        </w:rPr>
        <w:t>101) surface</w:t>
      </w:r>
      <w:r w:rsidR="002E0648">
        <w:rPr>
          <w:rFonts w:ascii="Cambria" w:hAnsi="Cambria"/>
        </w:rPr>
        <w:t xml:space="preserve"> and agrees well with NEXAFS spectra from the N K edge</w:t>
      </w:r>
      <w:r w:rsidR="002C6AC0" w:rsidRPr="002C6AC0">
        <w:rPr>
          <w:rFonts w:ascii="Cambria" w:hAnsi="Cambria"/>
        </w:rPr>
        <w:t>.</w:t>
      </w:r>
      <w:r w:rsidR="00CB6537">
        <w:rPr>
          <w:rFonts w:ascii="Cambria" w:hAnsi="Cambria"/>
        </w:rPr>
        <w:t xml:space="preserve"> </w:t>
      </w:r>
    </w:p>
    <w:p w14:paraId="0DC3F3A8" w14:textId="77777777" w:rsidR="00362E62" w:rsidRDefault="00362E62">
      <w:pPr>
        <w:rPr>
          <w:lang w:val="en-US"/>
        </w:rPr>
      </w:pPr>
    </w:p>
    <w:p w14:paraId="6EFB02C7" w14:textId="28E2716C" w:rsidR="00A07D34" w:rsidRDefault="00282F6F">
      <w:pPr>
        <w:rPr>
          <w:lang w:val="en-US"/>
        </w:rPr>
      </w:pPr>
      <w:r>
        <w:rPr>
          <w:noProof/>
          <w:lang w:val="en-US"/>
        </w:rPr>
        <w:drawing>
          <wp:inline distT="0" distB="0" distL="0" distR="0" wp14:anchorId="018B9731" wp14:editId="4AE3C792">
            <wp:extent cx="5486400" cy="467121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671216"/>
                    </a:xfrm>
                    <a:prstGeom prst="rect">
                      <a:avLst/>
                    </a:prstGeom>
                    <a:noFill/>
                    <a:ln>
                      <a:noFill/>
                    </a:ln>
                  </pic:spPr>
                </pic:pic>
              </a:graphicData>
            </a:graphic>
          </wp:inline>
        </w:drawing>
      </w:r>
    </w:p>
    <w:p w14:paraId="25522E59" w14:textId="77777777" w:rsidR="00DB7D8B" w:rsidRDefault="00DB7D8B">
      <w:pPr>
        <w:rPr>
          <w:lang w:val="en-US"/>
        </w:rPr>
      </w:pPr>
    </w:p>
    <w:p w14:paraId="031165A1" w14:textId="4F5DC68F" w:rsidR="00463B4C" w:rsidRPr="00463B4C" w:rsidRDefault="00463B4C">
      <w:pPr>
        <w:pStyle w:val="NormalWeb"/>
        <w:ind w:left="640" w:hanging="640"/>
        <w:divId w:val="161891218"/>
        <w:rPr>
          <w:rFonts w:ascii="Cambria" w:hAnsi="Cambria"/>
          <w:noProof/>
          <w:sz w:val="24"/>
        </w:rPr>
      </w:pPr>
      <w:r>
        <w:rPr>
          <w:lang w:val="en-US"/>
        </w:rPr>
        <w:fldChar w:fldCharType="begin" w:fldLock="1"/>
      </w:r>
      <w:r>
        <w:rPr>
          <w:lang w:val="en-US"/>
        </w:rPr>
        <w:instrText xml:space="preserve">ADDIN Mendeley Bibliography CSL_BIBLIOGRAPHY </w:instrText>
      </w:r>
      <w:r>
        <w:rPr>
          <w:lang w:val="en-US"/>
        </w:rPr>
        <w:fldChar w:fldCharType="separate"/>
      </w:r>
      <w:r w:rsidRPr="00463B4C">
        <w:rPr>
          <w:rFonts w:ascii="Cambria" w:hAnsi="Cambria"/>
          <w:noProof/>
          <w:sz w:val="24"/>
        </w:rPr>
        <w:t>[1]</w:t>
      </w:r>
      <w:r w:rsidRPr="00463B4C">
        <w:rPr>
          <w:rFonts w:ascii="Cambria" w:hAnsi="Cambria"/>
          <w:noProof/>
          <w:sz w:val="24"/>
        </w:rPr>
        <w:tab/>
        <w:t xml:space="preserve">A. Jablonski, </w:t>
      </w:r>
      <w:r w:rsidRPr="00463B4C">
        <w:rPr>
          <w:rFonts w:ascii="Cambria" w:hAnsi="Cambria"/>
          <w:i/>
          <w:iCs/>
          <w:noProof/>
          <w:sz w:val="24"/>
        </w:rPr>
        <w:t>Natl. Inst. Stand. Technol.</w:t>
      </w:r>
      <w:r w:rsidRPr="00463B4C">
        <w:rPr>
          <w:rFonts w:ascii="Cambria" w:hAnsi="Cambria"/>
          <w:noProof/>
          <w:sz w:val="24"/>
        </w:rPr>
        <w:t xml:space="preserve"> </w:t>
      </w:r>
      <w:r w:rsidRPr="00463B4C">
        <w:rPr>
          <w:rFonts w:ascii="Cambria" w:hAnsi="Cambria"/>
          <w:b/>
          <w:bCs/>
          <w:noProof/>
          <w:sz w:val="24"/>
        </w:rPr>
        <w:t>2010</w:t>
      </w:r>
      <w:r w:rsidRPr="00463B4C">
        <w:rPr>
          <w:rFonts w:ascii="Cambria" w:hAnsi="Cambria"/>
          <w:noProof/>
          <w:sz w:val="24"/>
        </w:rPr>
        <w:t>.</w:t>
      </w:r>
    </w:p>
    <w:p w14:paraId="4D7483C4" w14:textId="77777777" w:rsidR="00463B4C" w:rsidRPr="00463B4C" w:rsidRDefault="00463B4C">
      <w:pPr>
        <w:pStyle w:val="NormalWeb"/>
        <w:ind w:left="640" w:hanging="640"/>
        <w:divId w:val="161891218"/>
        <w:rPr>
          <w:rFonts w:ascii="Cambria" w:hAnsi="Cambria"/>
          <w:noProof/>
          <w:sz w:val="24"/>
        </w:rPr>
      </w:pPr>
      <w:r w:rsidRPr="00463B4C">
        <w:rPr>
          <w:rFonts w:ascii="Cambria" w:hAnsi="Cambria"/>
          <w:noProof/>
          <w:sz w:val="24"/>
        </w:rPr>
        <w:t>[2]</w:t>
      </w:r>
      <w:r w:rsidRPr="00463B4C">
        <w:rPr>
          <w:rFonts w:ascii="Cambria" w:hAnsi="Cambria"/>
          <w:noProof/>
          <w:sz w:val="24"/>
        </w:rPr>
        <w:tab/>
        <w:t xml:space="preserve">M. J. Jackman, A. G. Thomas, C. Muryn, </w:t>
      </w:r>
      <w:r w:rsidRPr="00463B4C">
        <w:rPr>
          <w:rFonts w:ascii="Cambria" w:hAnsi="Cambria"/>
          <w:i/>
          <w:iCs/>
          <w:noProof/>
          <w:sz w:val="24"/>
        </w:rPr>
        <w:t>J. Phys. Chem. C</w:t>
      </w:r>
      <w:r w:rsidRPr="00463B4C">
        <w:rPr>
          <w:rFonts w:ascii="Cambria" w:hAnsi="Cambria"/>
          <w:noProof/>
          <w:sz w:val="24"/>
        </w:rPr>
        <w:t xml:space="preserve"> </w:t>
      </w:r>
      <w:r w:rsidRPr="00463B4C">
        <w:rPr>
          <w:rFonts w:ascii="Cambria" w:hAnsi="Cambria"/>
          <w:b/>
          <w:bCs/>
          <w:noProof/>
          <w:sz w:val="24"/>
        </w:rPr>
        <w:t>2015</w:t>
      </w:r>
      <w:r w:rsidRPr="00463B4C">
        <w:rPr>
          <w:rFonts w:ascii="Cambria" w:hAnsi="Cambria"/>
          <w:noProof/>
          <w:sz w:val="24"/>
        </w:rPr>
        <w:t xml:space="preserve">, </w:t>
      </w:r>
      <w:r w:rsidRPr="00463B4C">
        <w:rPr>
          <w:rFonts w:ascii="Cambria" w:hAnsi="Cambria"/>
          <w:i/>
          <w:iCs/>
          <w:noProof/>
          <w:sz w:val="24"/>
        </w:rPr>
        <w:t>119</w:t>
      </w:r>
      <w:r w:rsidRPr="00463B4C">
        <w:rPr>
          <w:rFonts w:ascii="Cambria" w:hAnsi="Cambria"/>
          <w:noProof/>
          <w:sz w:val="24"/>
        </w:rPr>
        <w:t>, 13682–13690.</w:t>
      </w:r>
    </w:p>
    <w:p w14:paraId="09EFCB7A" w14:textId="77777777" w:rsidR="00463B4C" w:rsidRPr="00463B4C" w:rsidRDefault="00463B4C">
      <w:pPr>
        <w:pStyle w:val="NormalWeb"/>
        <w:ind w:left="640" w:hanging="640"/>
        <w:divId w:val="161891218"/>
        <w:rPr>
          <w:rFonts w:ascii="Cambria" w:hAnsi="Cambria"/>
          <w:noProof/>
          <w:sz w:val="24"/>
        </w:rPr>
      </w:pPr>
      <w:r w:rsidRPr="00463B4C">
        <w:rPr>
          <w:rFonts w:ascii="Cambria" w:hAnsi="Cambria"/>
          <w:noProof/>
          <w:sz w:val="24"/>
        </w:rPr>
        <w:t>[3]</w:t>
      </w:r>
      <w:r w:rsidRPr="00463B4C">
        <w:rPr>
          <w:rFonts w:ascii="Cambria" w:hAnsi="Cambria"/>
          <w:noProof/>
          <w:sz w:val="24"/>
        </w:rPr>
        <w:tab/>
        <w:t xml:space="preserve">J. Stöhr, </w:t>
      </w:r>
      <w:r w:rsidRPr="00463B4C">
        <w:rPr>
          <w:rFonts w:ascii="Cambria" w:hAnsi="Cambria"/>
          <w:i/>
          <w:iCs/>
          <w:noProof/>
          <w:sz w:val="24"/>
        </w:rPr>
        <w:t>NEXAFS Spectroscopy</w:t>
      </w:r>
      <w:r w:rsidRPr="00463B4C">
        <w:rPr>
          <w:rFonts w:ascii="Cambria" w:hAnsi="Cambria"/>
          <w:noProof/>
          <w:sz w:val="24"/>
        </w:rPr>
        <w:t xml:space="preserve">, Springer-Verlag: Berlin, </w:t>
      </w:r>
      <w:r w:rsidRPr="00463B4C">
        <w:rPr>
          <w:rFonts w:ascii="Cambria" w:hAnsi="Cambria"/>
          <w:b/>
          <w:bCs/>
          <w:noProof/>
          <w:sz w:val="24"/>
        </w:rPr>
        <w:t>2003</w:t>
      </w:r>
      <w:r w:rsidRPr="00463B4C">
        <w:rPr>
          <w:rFonts w:ascii="Cambria" w:hAnsi="Cambria"/>
          <w:noProof/>
          <w:sz w:val="24"/>
        </w:rPr>
        <w:t xml:space="preserve">. </w:t>
      </w:r>
    </w:p>
    <w:p w14:paraId="6B8A7871" w14:textId="340DF559" w:rsidR="00463B4C" w:rsidRDefault="00463B4C">
      <w:pPr>
        <w:rPr>
          <w:lang w:val="en-US"/>
        </w:rPr>
      </w:pPr>
      <w:r>
        <w:rPr>
          <w:lang w:val="en-US"/>
        </w:rPr>
        <w:fldChar w:fldCharType="end"/>
      </w:r>
    </w:p>
    <w:sectPr w:rsidR="00463B4C" w:rsidSect="002C6AC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Sans Unicode">
    <w:panose1 w:val="020B0602030504020204"/>
    <w:charset w:val="00"/>
    <w:family w:val="auto"/>
    <w:pitch w:val="variable"/>
    <w:sig w:usb0="80000AFF" w:usb1="0000396B" w:usb2="00000000" w:usb3="00000000" w:csb0="000000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ED"/>
    <w:rsid w:val="00016AFF"/>
    <w:rsid w:val="000404B0"/>
    <w:rsid w:val="000E1A7D"/>
    <w:rsid w:val="001557AB"/>
    <w:rsid w:val="001E41C9"/>
    <w:rsid w:val="001F7C80"/>
    <w:rsid w:val="00282F6F"/>
    <w:rsid w:val="002C6AC0"/>
    <w:rsid w:val="002E0648"/>
    <w:rsid w:val="002F7CAD"/>
    <w:rsid w:val="003103C1"/>
    <w:rsid w:val="00362E62"/>
    <w:rsid w:val="003640D0"/>
    <w:rsid w:val="003B0586"/>
    <w:rsid w:val="00463B4C"/>
    <w:rsid w:val="004A4122"/>
    <w:rsid w:val="005C0769"/>
    <w:rsid w:val="005D203C"/>
    <w:rsid w:val="00710866"/>
    <w:rsid w:val="007579AC"/>
    <w:rsid w:val="007B7B08"/>
    <w:rsid w:val="007D0E83"/>
    <w:rsid w:val="008274ED"/>
    <w:rsid w:val="00883F81"/>
    <w:rsid w:val="0090582B"/>
    <w:rsid w:val="00945D60"/>
    <w:rsid w:val="009654B7"/>
    <w:rsid w:val="009D0E75"/>
    <w:rsid w:val="00A07D34"/>
    <w:rsid w:val="00A13BC4"/>
    <w:rsid w:val="00A478AE"/>
    <w:rsid w:val="00A85C25"/>
    <w:rsid w:val="00AC5F08"/>
    <w:rsid w:val="00B666E2"/>
    <w:rsid w:val="00B9713E"/>
    <w:rsid w:val="00CB6537"/>
    <w:rsid w:val="00CD1258"/>
    <w:rsid w:val="00CF1EA8"/>
    <w:rsid w:val="00DB7D8B"/>
    <w:rsid w:val="00DD59AD"/>
    <w:rsid w:val="00E953BA"/>
    <w:rsid w:val="00F63014"/>
    <w:rsid w:val="00F65250"/>
    <w:rsid w:val="00FB1F74"/>
    <w:rsid w:val="00FE4397"/>
    <w:rsid w:val="00FF7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E681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4ED"/>
    <w:rPr>
      <w:color w:val="0000FF" w:themeColor="hyperlink"/>
      <w:u w:val="single"/>
    </w:rPr>
  </w:style>
  <w:style w:type="paragraph" w:styleId="BalloonText">
    <w:name w:val="Balloon Text"/>
    <w:basedOn w:val="Normal"/>
    <w:link w:val="BalloonTextChar"/>
    <w:uiPriority w:val="99"/>
    <w:semiHidden/>
    <w:unhideWhenUsed/>
    <w:rsid w:val="005C07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769"/>
    <w:rPr>
      <w:rFonts w:ascii="Lucida Grande" w:hAnsi="Lucida Grande" w:cs="Lucida Grande"/>
      <w:sz w:val="18"/>
      <w:szCs w:val="18"/>
      <w:lang w:val="en-GB"/>
    </w:rPr>
  </w:style>
  <w:style w:type="paragraph" w:styleId="NormalWeb">
    <w:name w:val="Normal (Web)"/>
    <w:basedOn w:val="Normal"/>
    <w:uiPriority w:val="99"/>
    <w:unhideWhenUsed/>
    <w:rsid w:val="002C6AC0"/>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A07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63B4C"/>
    <w:rPr>
      <w:sz w:val="18"/>
      <w:szCs w:val="18"/>
    </w:rPr>
  </w:style>
  <w:style w:type="paragraph" w:styleId="CommentText">
    <w:name w:val="annotation text"/>
    <w:basedOn w:val="Normal"/>
    <w:link w:val="CommentTextChar"/>
    <w:uiPriority w:val="99"/>
    <w:semiHidden/>
    <w:unhideWhenUsed/>
    <w:rsid w:val="00463B4C"/>
    <w:rPr>
      <w:rFonts w:ascii="Times New Roman" w:eastAsia="MS Mincho" w:hAnsi="Times New Roman" w:cs="Times New Roman"/>
      <w:lang w:val="de-DE" w:eastAsia="ja-JP"/>
    </w:rPr>
  </w:style>
  <w:style w:type="character" w:customStyle="1" w:styleId="CommentTextChar">
    <w:name w:val="Comment Text Char"/>
    <w:basedOn w:val="DefaultParagraphFont"/>
    <w:link w:val="CommentText"/>
    <w:uiPriority w:val="99"/>
    <w:semiHidden/>
    <w:rsid w:val="00463B4C"/>
    <w:rPr>
      <w:rFonts w:ascii="Times New Roman" w:eastAsia="MS Mincho" w:hAnsi="Times New Roman" w:cs="Times New Roman"/>
      <w:lang w:val="de-DE" w:eastAsia="ja-JP"/>
    </w:rPr>
  </w:style>
  <w:style w:type="paragraph" w:styleId="CommentSubject">
    <w:name w:val="annotation subject"/>
    <w:basedOn w:val="CommentText"/>
    <w:next w:val="CommentText"/>
    <w:link w:val="CommentSubjectChar"/>
    <w:uiPriority w:val="99"/>
    <w:semiHidden/>
    <w:unhideWhenUsed/>
    <w:rsid w:val="00B666E2"/>
    <w:rPr>
      <w:rFonts w:asciiTheme="minorHAnsi" w:eastAsiaTheme="minorEastAsia" w:hAnsiTheme="minorHAnsi" w:cstheme="minorBidi"/>
      <w:b/>
      <w:bCs/>
      <w:sz w:val="20"/>
      <w:szCs w:val="20"/>
      <w:lang w:val="en-GB" w:eastAsia="en-US"/>
    </w:rPr>
  </w:style>
  <w:style w:type="character" w:customStyle="1" w:styleId="CommentSubjectChar">
    <w:name w:val="Comment Subject Char"/>
    <w:basedOn w:val="CommentTextChar"/>
    <w:link w:val="CommentSubject"/>
    <w:uiPriority w:val="99"/>
    <w:semiHidden/>
    <w:rsid w:val="00B666E2"/>
    <w:rPr>
      <w:rFonts w:ascii="Times New Roman" w:eastAsia="MS Mincho" w:hAnsi="Times New Roman" w:cs="Times New Roman"/>
      <w:b/>
      <w:bCs/>
      <w:sz w:val="20"/>
      <w:szCs w:val="20"/>
      <w:lang w:val="en-GB"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4ED"/>
    <w:rPr>
      <w:color w:val="0000FF" w:themeColor="hyperlink"/>
      <w:u w:val="single"/>
    </w:rPr>
  </w:style>
  <w:style w:type="paragraph" w:styleId="BalloonText">
    <w:name w:val="Balloon Text"/>
    <w:basedOn w:val="Normal"/>
    <w:link w:val="BalloonTextChar"/>
    <w:uiPriority w:val="99"/>
    <w:semiHidden/>
    <w:unhideWhenUsed/>
    <w:rsid w:val="005C07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769"/>
    <w:rPr>
      <w:rFonts w:ascii="Lucida Grande" w:hAnsi="Lucida Grande" w:cs="Lucida Grande"/>
      <w:sz w:val="18"/>
      <w:szCs w:val="18"/>
      <w:lang w:val="en-GB"/>
    </w:rPr>
  </w:style>
  <w:style w:type="paragraph" w:styleId="NormalWeb">
    <w:name w:val="Normal (Web)"/>
    <w:basedOn w:val="Normal"/>
    <w:uiPriority w:val="99"/>
    <w:unhideWhenUsed/>
    <w:rsid w:val="002C6AC0"/>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A07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63B4C"/>
    <w:rPr>
      <w:sz w:val="18"/>
      <w:szCs w:val="18"/>
    </w:rPr>
  </w:style>
  <w:style w:type="paragraph" w:styleId="CommentText">
    <w:name w:val="annotation text"/>
    <w:basedOn w:val="Normal"/>
    <w:link w:val="CommentTextChar"/>
    <w:uiPriority w:val="99"/>
    <w:semiHidden/>
    <w:unhideWhenUsed/>
    <w:rsid w:val="00463B4C"/>
    <w:rPr>
      <w:rFonts w:ascii="Times New Roman" w:eastAsia="MS Mincho" w:hAnsi="Times New Roman" w:cs="Times New Roman"/>
      <w:lang w:val="de-DE" w:eastAsia="ja-JP"/>
    </w:rPr>
  </w:style>
  <w:style w:type="character" w:customStyle="1" w:styleId="CommentTextChar">
    <w:name w:val="Comment Text Char"/>
    <w:basedOn w:val="DefaultParagraphFont"/>
    <w:link w:val="CommentText"/>
    <w:uiPriority w:val="99"/>
    <w:semiHidden/>
    <w:rsid w:val="00463B4C"/>
    <w:rPr>
      <w:rFonts w:ascii="Times New Roman" w:eastAsia="MS Mincho" w:hAnsi="Times New Roman" w:cs="Times New Roman"/>
      <w:lang w:val="de-DE" w:eastAsia="ja-JP"/>
    </w:rPr>
  </w:style>
  <w:style w:type="paragraph" w:styleId="CommentSubject">
    <w:name w:val="annotation subject"/>
    <w:basedOn w:val="CommentText"/>
    <w:next w:val="CommentText"/>
    <w:link w:val="CommentSubjectChar"/>
    <w:uiPriority w:val="99"/>
    <w:semiHidden/>
    <w:unhideWhenUsed/>
    <w:rsid w:val="00B666E2"/>
    <w:rPr>
      <w:rFonts w:asciiTheme="minorHAnsi" w:eastAsiaTheme="minorEastAsia" w:hAnsiTheme="minorHAnsi" w:cstheme="minorBidi"/>
      <w:b/>
      <w:bCs/>
      <w:sz w:val="20"/>
      <w:szCs w:val="20"/>
      <w:lang w:val="en-GB" w:eastAsia="en-US"/>
    </w:rPr>
  </w:style>
  <w:style w:type="character" w:customStyle="1" w:styleId="CommentSubjectChar">
    <w:name w:val="Comment Subject Char"/>
    <w:basedOn w:val="CommentTextChar"/>
    <w:link w:val="CommentSubject"/>
    <w:uiPriority w:val="99"/>
    <w:semiHidden/>
    <w:rsid w:val="00B666E2"/>
    <w:rPr>
      <w:rFonts w:ascii="Times New Roman" w:eastAsia="MS Mincho" w:hAnsi="Times New Roman"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2663">
      <w:bodyDiv w:val="1"/>
      <w:marLeft w:val="0"/>
      <w:marRight w:val="0"/>
      <w:marTop w:val="0"/>
      <w:marBottom w:val="0"/>
      <w:divBdr>
        <w:top w:val="none" w:sz="0" w:space="0" w:color="auto"/>
        <w:left w:val="none" w:sz="0" w:space="0" w:color="auto"/>
        <w:bottom w:val="none" w:sz="0" w:space="0" w:color="auto"/>
        <w:right w:val="none" w:sz="0" w:space="0" w:color="auto"/>
      </w:divBdr>
    </w:div>
    <w:div w:id="161891218">
      <w:bodyDiv w:val="1"/>
      <w:marLeft w:val="0"/>
      <w:marRight w:val="0"/>
      <w:marTop w:val="0"/>
      <w:marBottom w:val="0"/>
      <w:divBdr>
        <w:top w:val="none" w:sz="0" w:space="0" w:color="auto"/>
        <w:left w:val="none" w:sz="0" w:space="0" w:color="auto"/>
        <w:bottom w:val="none" w:sz="0" w:space="0" w:color="auto"/>
        <w:right w:val="none" w:sz="0" w:space="0" w:color="auto"/>
      </w:divBdr>
    </w:div>
    <w:div w:id="598875469">
      <w:bodyDiv w:val="1"/>
      <w:marLeft w:val="0"/>
      <w:marRight w:val="0"/>
      <w:marTop w:val="0"/>
      <w:marBottom w:val="0"/>
      <w:divBdr>
        <w:top w:val="none" w:sz="0" w:space="0" w:color="auto"/>
        <w:left w:val="none" w:sz="0" w:space="0" w:color="auto"/>
        <w:bottom w:val="none" w:sz="0" w:space="0" w:color="auto"/>
        <w:right w:val="none" w:sz="0" w:space="0" w:color="auto"/>
      </w:divBdr>
    </w:div>
    <w:div w:id="15250519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andrew.g.thomas@manchester.ac.uk"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C1DE0-E92C-4C42-B91F-CD0F055C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1755</Words>
  <Characters>10004</Characters>
  <Application>Microsoft Macintosh Word</Application>
  <DocSecurity>0</DocSecurity>
  <Lines>83</Lines>
  <Paragraphs>23</Paragraphs>
  <ScaleCrop>false</ScaleCrop>
  <Company/>
  <LinksUpToDate>false</LinksUpToDate>
  <CharactersWithSpaces>11736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Andrew Thomas</cp:lastModifiedBy>
  <cp:revision>3</cp:revision>
  <dcterms:created xsi:type="dcterms:W3CDTF">2016-07-14T10:57:00Z</dcterms:created>
  <dcterms:modified xsi:type="dcterms:W3CDTF">2016-07-14T11:29:00Z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waggy1991@hotmail.co.uk@www.mendeley.com</vt:lpwstr>
  </property>
  <property fmtid="{D5CDD505-2E9C-101B-9397-08002B2CF9AE}" pid="4" name="Mendeley Citation Style_1">
    <vt:lpwstr>http://www.zotero.org/styles/angewandte-chemie</vt:lpwstr>
  </property>
  <property fmtid="{D5CDD505-2E9C-101B-9397-08002B2CF9AE}" pid="5" name="Mendeley Recent Style Id 0_1">
    <vt:lpwstr>http://www.zotero.org/styles/american-chemical-society</vt:lpwstr>
  </property>
  <property fmtid="{D5CDD505-2E9C-101B-9397-08002B2CF9AE}" pid="6" name="Mendeley Recent Style Name 0_1">
    <vt:lpwstr>American Chemical Society</vt:lpwstr>
  </property>
  <property fmtid="{D5CDD505-2E9C-101B-9397-08002B2CF9AE}" pid="7" name="Mendeley Recent Style Id 1_1">
    <vt:lpwstr>http://www.zotero.org/styles/american-chemical-society-with-titles</vt:lpwstr>
  </property>
  <property fmtid="{D5CDD505-2E9C-101B-9397-08002B2CF9AE}" pid="8" name="Mendeley Recent Style Name 1_1">
    <vt:lpwstr>American Chemical Society (with titles)</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http://www.zotero.org/styles/angewandte-chemie</vt:lpwstr>
  </property>
  <property fmtid="{D5CDD505-2E9C-101B-9397-08002B2CF9AE}" pid="12" name="Mendeley Recent Style Name 3_1">
    <vt:lpwstr>Angewandte Chemie International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